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567FA9A" w14:textId="5DD76DB4" w:rsidR="008F0809" w:rsidRPr="00987097" w:rsidRDefault="0061064D" w:rsidP="0061064D">
      <w:pPr>
        <w:pStyle w:val="Overskrift1"/>
      </w:pPr>
      <w:r>
        <w:t xml:space="preserve"> </w:t>
      </w:r>
      <w:r>
        <w:tab/>
        <w:t>Solceller – en grøn energiteknologi</w:t>
      </w:r>
    </w:p>
    <w:p w14:paraId="42E12B06" w14:textId="437459AE" w:rsidR="00054123" w:rsidRPr="0061064D" w:rsidRDefault="0061064D" w:rsidP="0061064D">
      <w:pPr>
        <w:pStyle w:val="Overskrift2"/>
        <w:spacing w:before="0"/>
      </w:pPr>
      <w:r>
        <w:t xml:space="preserve"> </w:t>
      </w:r>
      <w:r>
        <w:tab/>
      </w:r>
      <w:r w:rsidR="00054123" w:rsidRPr="0061064D">
        <w:t>Solcellers anvendelse</w:t>
      </w:r>
    </w:p>
    <w:p w14:paraId="533C5FEB" w14:textId="77777777" w:rsidR="00054123" w:rsidRPr="0061064D" w:rsidRDefault="00054123" w:rsidP="0061064D">
      <w:pPr>
        <w:pStyle w:val="MainmainMAIN"/>
        <w:spacing w:after="0"/>
      </w:pPr>
      <w:r w:rsidRPr="0061064D">
        <w:rPr>
          <w:i/>
          <w:iCs/>
        </w:rPr>
        <w:t>Formål</w:t>
      </w:r>
    </w:p>
    <w:p w14:paraId="4E3892F0" w14:textId="0CAFCBEB" w:rsidR="00054123" w:rsidRDefault="00054123" w:rsidP="0061064D">
      <w:pPr>
        <w:pStyle w:val="MainmainMAIN"/>
        <w:spacing w:after="0"/>
      </w:pPr>
      <w:r w:rsidRPr="0061064D">
        <w:t>At få et indblik i solcellers betydning i verdens og Danmarks energisammensætning.</w:t>
      </w:r>
    </w:p>
    <w:p w14:paraId="4F2EA74C" w14:textId="77777777" w:rsidR="0061064D" w:rsidRDefault="0061064D" w:rsidP="0061064D">
      <w:pPr>
        <w:pStyle w:val="MainmainMAIN"/>
        <w:spacing w:after="0"/>
      </w:pPr>
    </w:p>
    <w:p w14:paraId="6B69CF7C" w14:textId="24E8A933" w:rsidR="00054123" w:rsidRPr="0061064D" w:rsidRDefault="00054123" w:rsidP="0061064D">
      <w:pPr>
        <w:pStyle w:val="MainmainMAIN"/>
        <w:spacing w:after="0"/>
      </w:pPr>
      <w:r w:rsidRPr="0061064D">
        <w:rPr>
          <w:i/>
          <w:iCs/>
        </w:rPr>
        <w:t>Opgave</w:t>
      </w:r>
    </w:p>
    <w:p w14:paraId="5549C121" w14:textId="77777777" w:rsidR="00054123" w:rsidRPr="0061064D" w:rsidRDefault="00054123" w:rsidP="009564D2">
      <w:pPr>
        <w:pStyle w:val="MainmainMAIN"/>
        <w:numPr>
          <w:ilvl w:val="0"/>
          <w:numId w:val="20"/>
        </w:numPr>
        <w:spacing w:after="0"/>
      </w:pPr>
      <w:r w:rsidRPr="0061064D">
        <w:t>Find eksempler fra din hverdag hvor solceller bruges som energikilde. Diskutér om disse eksempler er meget energikrævende.</w:t>
      </w:r>
    </w:p>
    <w:p w14:paraId="0982FD36" w14:textId="77777777" w:rsidR="00054123" w:rsidRPr="0061064D" w:rsidRDefault="00054123" w:rsidP="009564D2">
      <w:pPr>
        <w:pStyle w:val="MainmainMAIN"/>
        <w:numPr>
          <w:ilvl w:val="0"/>
          <w:numId w:val="20"/>
        </w:numPr>
        <w:spacing w:after="0"/>
      </w:pPr>
      <w:r w:rsidRPr="0061064D">
        <w:t>Er solceller en pålidelig og effektiv energikilde i Danmark?</w:t>
      </w:r>
    </w:p>
    <w:p w14:paraId="0138BB84" w14:textId="77777777" w:rsidR="00054123" w:rsidRPr="0061064D" w:rsidRDefault="00054123" w:rsidP="009564D2">
      <w:pPr>
        <w:pStyle w:val="MainmainMAIN"/>
        <w:numPr>
          <w:ilvl w:val="0"/>
          <w:numId w:val="20"/>
        </w:numPr>
        <w:spacing w:after="0"/>
      </w:pPr>
      <w:r w:rsidRPr="0061064D">
        <w:t>Hvor stor vækst (i %) antager Det International Energiagentur (IEA), at solcellerne vil have i perioden 2020-2040?</w:t>
      </w:r>
    </w:p>
    <w:p w14:paraId="787E6196" w14:textId="1370379B" w:rsidR="00054123" w:rsidRPr="009564D2" w:rsidRDefault="00054123" w:rsidP="009564D2">
      <w:pPr>
        <w:pStyle w:val="Overskrift2"/>
      </w:pPr>
      <w:r w:rsidRPr="009564D2">
        <w:t xml:space="preserve"> </w:t>
      </w:r>
      <w:r w:rsidR="009564D2">
        <w:tab/>
      </w:r>
      <w:r w:rsidRPr="009564D2">
        <w:t xml:space="preserve">Solceller </w:t>
      </w:r>
      <w:r w:rsidR="009564D2">
        <w:t>–</w:t>
      </w:r>
      <w:r w:rsidRPr="009564D2">
        <w:t xml:space="preserve"> areal- og råstofforbrug</w:t>
      </w:r>
    </w:p>
    <w:p w14:paraId="23729EE5" w14:textId="77777777" w:rsidR="00054123" w:rsidRPr="0061064D" w:rsidRDefault="00054123" w:rsidP="0061064D">
      <w:pPr>
        <w:pStyle w:val="MainmainMAIN"/>
        <w:spacing w:after="0"/>
      </w:pPr>
      <w:r w:rsidRPr="009564D2">
        <w:rPr>
          <w:i/>
          <w:iCs/>
        </w:rPr>
        <w:t>Formål</w:t>
      </w:r>
    </w:p>
    <w:p w14:paraId="7F468FAE" w14:textId="74DF2D5D" w:rsidR="00054123" w:rsidRDefault="00054123" w:rsidP="0061064D">
      <w:pPr>
        <w:pStyle w:val="MainmainMAIN"/>
        <w:spacing w:after="0"/>
      </w:pPr>
      <w:r w:rsidRPr="0061064D">
        <w:t>At få indblik i hvor store solcelleanlæg der kræves for at imødekomme det nuværende energibehov, og hvor store mængder råstoffer der skal bruges.</w:t>
      </w:r>
    </w:p>
    <w:p w14:paraId="30DC4910" w14:textId="77777777" w:rsidR="009564D2" w:rsidRDefault="009564D2" w:rsidP="0061064D">
      <w:pPr>
        <w:pStyle w:val="MainmainMAIN"/>
        <w:spacing w:after="0"/>
      </w:pPr>
    </w:p>
    <w:p w14:paraId="5102F3E8" w14:textId="531201E2" w:rsidR="00054123" w:rsidRPr="0061064D" w:rsidRDefault="00054123" w:rsidP="0061064D">
      <w:pPr>
        <w:pStyle w:val="MainmainMAIN"/>
        <w:spacing w:after="0"/>
      </w:pPr>
      <w:r w:rsidRPr="009564D2">
        <w:rPr>
          <w:i/>
          <w:iCs/>
        </w:rPr>
        <w:t>Opgave</w:t>
      </w:r>
    </w:p>
    <w:p w14:paraId="7953E21F" w14:textId="79C0C5D2" w:rsidR="00054123" w:rsidRPr="001F12D6" w:rsidRDefault="00054123" w:rsidP="00D1253D">
      <w:pPr>
        <w:pStyle w:val="SubfigureSUB"/>
        <w:rPr>
          <w:iCs/>
          <w:sz w:val="24"/>
          <w:szCs w:val="24"/>
        </w:rPr>
      </w:pPr>
      <w:r w:rsidRPr="0061064D">
        <w:rPr>
          <w:rFonts w:ascii="KievitPro-Regular" w:hAnsi="KievitPro-Regular"/>
          <w:sz w:val="24"/>
          <w:szCs w:val="24"/>
        </w:rPr>
        <w:t xml:space="preserve">I denne øvelse skal du bruge </w:t>
      </w:r>
      <w:r w:rsidR="009564D2" w:rsidRPr="00D1253D">
        <w:rPr>
          <w:rFonts w:ascii="KievitPro-Regular" w:hAnsi="KievitPro-Regular"/>
          <w:sz w:val="24"/>
          <w:szCs w:val="24"/>
        </w:rPr>
        <w:t xml:space="preserve">Figur 116 </w:t>
      </w:r>
      <w:r w:rsidR="009564D2" w:rsidRPr="00D1253D">
        <w:rPr>
          <w:rFonts w:ascii="KievitPro-Regular" w:hAnsi="KievitPro-Regular"/>
          <w:i/>
          <w:iCs/>
          <w:sz w:val="24"/>
          <w:szCs w:val="24"/>
        </w:rPr>
        <w:t>Forventninger til kapaciteten for otte forskellige energiteknologier (2000-2040)</w:t>
      </w:r>
      <w:r w:rsidR="009B0B84" w:rsidRPr="00D1253D">
        <w:rPr>
          <w:rFonts w:ascii="KievitPro-Regular" w:hAnsi="KievitPro-Regular"/>
          <w:sz w:val="24"/>
          <w:szCs w:val="24"/>
        </w:rPr>
        <w:t>,</w:t>
      </w:r>
      <w:r w:rsidR="009564D2" w:rsidRPr="00D1253D">
        <w:rPr>
          <w:rFonts w:ascii="KievitPro-Regular" w:hAnsi="KievitPro-Regular"/>
          <w:sz w:val="24"/>
          <w:szCs w:val="24"/>
        </w:rPr>
        <w:t xml:space="preserve"> Figur 117 </w:t>
      </w:r>
      <w:r w:rsidR="009564D2" w:rsidRPr="00D1253D">
        <w:rPr>
          <w:rFonts w:ascii="KievitPro-Regular" w:hAnsi="KievitPro-Regular"/>
          <w:i/>
          <w:iCs/>
          <w:sz w:val="24"/>
          <w:szCs w:val="24"/>
        </w:rPr>
        <w:t>Kortlægning af områder med størst potentiale for produktion af energi fra solceller</w:t>
      </w:r>
      <w:r w:rsidR="007945BD" w:rsidRPr="00D1253D">
        <w:rPr>
          <w:rFonts w:ascii="KievitPro-Regular" w:hAnsi="KievitPro-Regular"/>
          <w:sz w:val="24"/>
          <w:szCs w:val="24"/>
        </w:rPr>
        <w:t xml:space="preserve">, Figur 118 </w:t>
      </w:r>
      <w:r w:rsidR="007945BD" w:rsidRPr="00D1253D">
        <w:rPr>
          <w:rFonts w:ascii="KievitPro-Regular" w:hAnsi="KievitPro-Regular"/>
          <w:i/>
          <w:iCs/>
          <w:sz w:val="24"/>
          <w:szCs w:val="24"/>
        </w:rPr>
        <w:t>Solcellesystem til elproduktion</w:t>
      </w:r>
      <w:r w:rsidR="007945BD" w:rsidRPr="00D1253D">
        <w:rPr>
          <w:rFonts w:ascii="KievitPro-Regular" w:hAnsi="KievitPro-Regular"/>
          <w:sz w:val="24"/>
          <w:szCs w:val="24"/>
        </w:rPr>
        <w:t xml:space="preserve">, Figur </w:t>
      </w:r>
      <w:r w:rsidR="00BB67E0" w:rsidRPr="00D1253D">
        <w:rPr>
          <w:rFonts w:ascii="KievitPro-Regular" w:hAnsi="KievitPro-Regular"/>
          <w:sz w:val="24"/>
          <w:szCs w:val="24"/>
        </w:rPr>
        <w:t xml:space="preserve">120 </w:t>
      </w:r>
      <w:r w:rsidR="00BB67E0" w:rsidRPr="00D1253D">
        <w:rPr>
          <w:rFonts w:ascii="KievitPro-Regular" w:hAnsi="KievitPro-Regular"/>
          <w:i/>
          <w:iCs/>
          <w:sz w:val="24"/>
          <w:szCs w:val="24"/>
        </w:rPr>
        <w:t>Produktion af råstoffer til solceller (2018)</w:t>
      </w:r>
      <w:r w:rsidR="00BB67E0" w:rsidRPr="00D1253D">
        <w:rPr>
          <w:rFonts w:ascii="KievitPro-Regular" w:hAnsi="KievitPro-Regular"/>
          <w:sz w:val="24"/>
          <w:szCs w:val="24"/>
        </w:rPr>
        <w:t xml:space="preserve">, Figur 121 </w:t>
      </w:r>
      <w:r w:rsidR="00BB67E0" w:rsidRPr="00D1253D">
        <w:rPr>
          <w:rFonts w:ascii="KievitPro-Regular" w:hAnsi="KievitPro-Regular"/>
          <w:i/>
          <w:iCs/>
          <w:sz w:val="24"/>
          <w:szCs w:val="24"/>
        </w:rPr>
        <w:t>Nøgleråstoffer til solceller</w:t>
      </w:r>
      <w:r w:rsidR="00BB67E0" w:rsidRPr="00D1253D">
        <w:rPr>
          <w:rFonts w:ascii="KievitPro-Regular" w:hAnsi="KievitPro-Regular"/>
          <w:sz w:val="24"/>
          <w:szCs w:val="24"/>
        </w:rPr>
        <w:t xml:space="preserve">, Figur 122 </w:t>
      </w:r>
      <w:r w:rsidR="001F12D6" w:rsidRPr="00D1253D">
        <w:rPr>
          <w:rFonts w:ascii="KievitPro-Regular" w:hAnsi="KievitPro-Regular"/>
          <w:i/>
          <w:iCs/>
          <w:sz w:val="24"/>
          <w:szCs w:val="24"/>
        </w:rPr>
        <w:t>Forbrug, produktion og geologiske reserver af solcellenøgleråstoffer (2018)</w:t>
      </w:r>
      <w:r w:rsidR="001F12D6" w:rsidRPr="00D1253D">
        <w:rPr>
          <w:rFonts w:ascii="KievitPro-Regular" w:hAnsi="KievitPro-Regular"/>
          <w:sz w:val="24"/>
          <w:szCs w:val="24"/>
        </w:rPr>
        <w:t xml:space="preserve"> og Figur 123 </w:t>
      </w:r>
      <w:r w:rsidR="00D1253D" w:rsidRPr="00D1253D">
        <w:rPr>
          <w:rFonts w:ascii="KievitPro-Regular" w:hAnsi="KievitPro-Regular"/>
          <w:i/>
          <w:iCs/>
          <w:sz w:val="24"/>
          <w:szCs w:val="24"/>
        </w:rPr>
        <w:t xml:space="preserve">Udviklingen i produktionen af gallium, germanium og </w:t>
      </w:r>
      <w:proofErr w:type="spellStart"/>
      <w:r w:rsidR="00D1253D" w:rsidRPr="00D1253D">
        <w:rPr>
          <w:rFonts w:ascii="KievitPro-Regular" w:hAnsi="KievitPro-Regular"/>
          <w:i/>
          <w:iCs/>
          <w:sz w:val="24"/>
          <w:szCs w:val="24"/>
        </w:rPr>
        <w:t>tellurium</w:t>
      </w:r>
      <w:proofErr w:type="spellEnd"/>
      <w:r w:rsidR="00D1253D" w:rsidRPr="00D1253D">
        <w:rPr>
          <w:rFonts w:ascii="KievitPro-Regular" w:hAnsi="KievitPro-Regular"/>
          <w:i/>
          <w:iCs/>
          <w:sz w:val="24"/>
          <w:szCs w:val="24"/>
        </w:rPr>
        <w:t xml:space="preserve"> (1900-2015)</w:t>
      </w:r>
      <w:r w:rsidR="00D1253D">
        <w:rPr>
          <w:rFonts w:ascii="KievitPro-Regular" w:hAnsi="KievitPro-Regular"/>
          <w:sz w:val="24"/>
          <w:szCs w:val="24"/>
        </w:rPr>
        <w:t>.</w:t>
      </w:r>
    </w:p>
    <w:p w14:paraId="1641C0D9" w14:textId="77777777" w:rsidR="009564D2" w:rsidRDefault="009564D2" w:rsidP="0061064D">
      <w:pPr>
        <w:pStyle w:val="MainmainMAIN"/>
        <w:spacing w:after="0"/>
      </w:pPr>
    </w:p>
    <w:p w14:paraId="58711B85" w14:textId="172E485E" w:rsidR="00E315EC" w:rsidRDefault="00054123" w:rsidP="009E5062">
      <w:pPr>
        <w:pStyle w:val="MainmainMAIN"/>
        <w:numPr>
          <w:ilvl w:val="0"/>
          <w:numId w:val="22"/>
        </w:numPr>
        <w:spacing w:after="0"/>
      </w:pPr>
      <w:r w:rsidRPr="0061064D">
        <w:t xml:space="preserve">Beregn hvor stort et areal der skulle bruges, hvis Danmarks energiforbrug i 2017 skulle komme fra solceller; </w:t>
      </w:r>
      <w:hyperlink r:id="rId11" w:history="1">
        <w:r w:rsidR="00433E08" w:rsidRPr="001B19E5">
          <w:rPr>
            <w:rStyle w:val="Hyperlink"/>
          </w:rPr>
          <w:t>https://www.energidanmark.dk/markedsinfo/nyheder/nyheder/nyheder-2018/01/elproduktionen-steg-i-2017/</w:t>
        </w:r>
      </w:hyperlink>
      <w:r w:rsidRPr="0061064D">
        <w:t xml:space="preserve">, </w:t>
      </w:r>
      <w:hyperlink r:id="rId12" w:history="1">
        <w:r w:rsidR="00433E08" w:rsidRPr="001B19E5">
          <w:rPr>
            <w:rStyle w:val="Hyperlink"/>
          </w:rPr>
          <w:t>www.vivaenergi.dk/solceller-jorden</w:t>
        </w:r>
      </w:hyperlink>
      <w:r w:rsidRPr="0061064D">
        <w:t>. </w:t>
      </w:r>
    </w:p>
    <w:p w14:paraId="6AF29C5E" w14:textId="0506BAC1" w:rsidR="00E315EC" w:rsidRDefault="00054123" w:rsidP="00E736A2">
      <w:pPr>
        <w:pStyle w:val="MainmainMAIN"/>
        <w:numPr>
          <w:ilvl w:val="0"/>
          <w:numId w:val="22"/>
        </w:numPr>
        <w:spacing w:after="0"/>
      </w:pPr>
      <w:r w:rsidRPr="0061064D">
        <w:t>Diskutér hvorfor der kan være forskel på den mængde anlæg IEA forventer bliver etableret og den mængde energi, der vil blive produceret?</w:t>
      </w:r>
    </w:p>
    <w:p w14:paraId="1B3747D2" w14:textId="2B1B9DA8" w:rsidR="00E315EC" w:rsidRDefault="00054123" w:rsidP="00E56401">
      <w:pPr>
        <w:pStyle w:val="MainmainMAIN"/>
        <w:numPr>
          <w:ilvl w:val="0"/>
          <w:numId w:val="22"/>
        </w:numPr>
        <w:spacing w:after="0"/>
      </w:pPr>
      <w:r w:rsidRPr="0061064D">
        <w:t xml:space="preserve">Beregn hvilke af råstofreserverne, der hurtigst vil blive brugt op, hvis man forestiller sig, at produktionen </w:t>
      </w:r>
      <w:bookmarkStart w:id="0" w:name="_GoBack"/>
      <w:bookmarkEnd w:id="0"/>
      <w:r w:rsidRPr="0061064D">
        <w:t>fortsætter som i 2016. </w:t>
      </w:r>
    </w:p>
    <w:p w14:paraId="4556997D" w14:textId="58FF87A6" w:rsidR="00052C1C" w:rsidRDefault="00054123" w:rsidP="00E56401">
      <w:pPr>
        <w:pStyle w:val="MainmainMAIN"/>
        <w:numPr>
          <w:ilvl w:val="0"/>
          <w:numId w:val="22"/>
        </w:numPr>
        <w:spacing w:after="0"/>
      </w:pPr>
      <w:r w:rsidRPr="0061064D">
        <w:t>Diskutér hvilke forhold, der kan ændre disse tal</w:t>
      </w:r>
      <w:r w:rsidR="0019058E">
        <w:t xml:space="preserve"> (tag eventuelt udgangspunkt i Kapitel 5 </w:t>
      </w:r>
      <w:r w:rsidR="0019058E">
        <w:rPr>
          <w:i/>
          <w:iCs/>
        </w:rPr>
        <w:t>Mineralske ressourcer og reserver</w:t>
      </w:r>
      <w:r w:rsidR="0019058E">
        <w:t>)</w:t>
      </w:r>
      <w:r w:rsidRPr="0061064D">
        <w:t xml:space="preserve">: </w:t>
      </w:r>
    </w:p>
    <w:p w14:paraId="75965284" w14:textId="77777777" w:rsidR="0019058E" w:rsidRDefault="00054123" w:rsidP="0019058E">
      <w:pPr>
        <w:pStyle w:val="MainmainMAIN"/>
        <w:numPr>
          <w:ilvl w:val="1"/>
          <w:numId w:val="22"/>
        </w:numPr>
        <w:spacing w:after="0"/>
      </w:pPr>
      <w:r w:rsidRPr="0061064D">
        <w:lastRenderedPageBreak/>
        <w:t>Hvad kan forlænge levetiden</w:t>
      </w:r>
      <w:r w:rsidR="0019058E">
        <w:t>?</w:t>
      </w:r>
    </w:p>
    <w:p w14:paraId="5DCD0307" w14:textId="4AA012F1" w:rsidR="00054123" w:rsidRDefault="0019058E" w:rsidP="0019058E">
      <w:pPr>
        <w:pStyle w:val="MainmainMAIN"/>
        <w:numPr>
          <w:ilvl w:val="1"/>
          <w:numId w:val="22"/>
        </w:numPr>
        <w:spacing w:after="0"/>
      </w:pPr>
      <w:r>
        <w:t>H</w:t>
      </w:r>
      <w:r w:rsidR="00054123" w:rsidRPr="0061064D">
        <w:t xml:space="preserve">vad kan reducere levetiden? </w:t>
      </w:r>
    </w:p>
    <w:p w14:paraId="5FE49C3D" w14:textId="77777777" w:rsidR="0019058E" w:rsidRPr="0061064D" w:rsidRDefault="0019058E" w:rsidP="0019058E">
      <w:pPr>
        <w:pStyle w:val="MainmainMAIN"/>
        <w:spacing w:after="0"/>
      </w:pPr>
    </w:p>
    <w:p w14:paraId="1CFA02DB" w14:textId="51435405" w:rsidR="00054123" w:rsidRPr="0061064D" w:rsidRDefault="00054123" w:rsidP="00A61597">
      <w:pPr>
        <w:pStyle w:val="MainmainMAIN"/>
        <w:spacing w:after="60"/>
      </w:pPr>
      <w:r w:rsidRPr="0061064D">
        <w:rPr>
          <w:noProof/>
        </w:rPr>
        <w:drawing>
          <wp:inline distT="0" distB="0" distL="0" distR="0" wp14:anchorId="5D5AC6B5" wp14:editId="73720F8F">
            <wp:extent cx="5040000" cy="2952000"/>
            <wp:effectExtent l="0" t="0" r="8255" b="1270"/>
            <wp:docPr id="16" name="Billed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040000" cy="2952000"/>
                    </a:xfrm>
                    <a:prstGeom prst="rect">
                      <a:avLst/>
                    </a:prstGeom>
                    <a:noFill/>
                    <a:ln>
                      <a:noFill/>
                    </a:ln>
                  </pic:spPr>
                </pic:pic>
              </a:graphicData>
            </a:graphic>
          </wp:inline>
        </w:drawing>
      </w:r>
    </w:p>
    <w:p w14:paraId="3E4C40D5" w14:textId="20D2D227" w:rsidR="00054123" w:rsidRPr="00A61597" w:rsidRDefault="00054123" w:rsidP="00A61597">
      <w:pPr>
        <w:pStyle w:val="MainmainMAIN"/>
        <w:spacing w:after="0"/>
        <w:rPr>
          <w:rFonts w:ascii="KievitPro-Light" w:hAnsi="KievitPro-Light" w:cs="KievitPro-Light"/>
          <w:sz w:val="22"/>
          <w:szCs w:val="22"/>
        </w:rPr>
      </w:pPr>
      <w:r w:rsidRPr="00A61597">
        <w:rPr>
          <w:rFonts w:ascii="KievitPro-Light" w:hAnsi="KievitPro-Light" w:cs="KievitPro-Light"/>
          <w:color w:val="FF0000"/>
          <w:sz w:val="22"/>
          <w:szCs w:val="22"/>
        </w:rPr>
        <w:t>Figur 116</w:t>
      </w:r>
      <w:r w:rsidR="00A61597" w:rsidRPr="00A61597">
        <w:rPr>
          <w:rFonts w:ascii="KievitPro-Light" w:hAnsi="KievitPro-Light" w:cs="KievitPro-Light"/>
          <w:color w:val="FF0000"/>
          <w:sz w:val="22"/>
          <w:szCs w:val="22"/>
        </w:rPr>
        <w:t>.</w:t>
      </w:r>
      <w:r w:rsidRPr="00A61597">
        <w:rPr>
          <w:rFonts w:ascii="KievitPro-Light" w:hAnsi="KievitPro-Light" w:cs="KievitPro-Light"/>
          <w:sz w:val="22"/>
          <w:szCs w:val="22"/>
        </w:rPr>
        <w:t xml:space="preserve"> Det Internationale Energiagenturs forventninger til kapaciteten for otte forskellige energiteknologier frem mod 2040. Efter IEA (2018).</w:t>
      </w:r>
    </w:p>
    <w:p w14:paraId="53031E47" w14:textId="77777777" w:rsidR="00A61597" w:rsidRDefault="00A61597" w:rsidP="00A61597">
      <w:pPr>
        <w:pStyle w:val="MainmainMAIN"/>
        <w:spacing w:after="0"/>
      </w:pPr>
    </w:p>
    <w:p w14:paraId="0E600AD7" w14:textId="57D9DBFE" w:rsidR="00054123" w:rsidRDefault="00054123" w:rsidP="00A61597">
      <w:pPr>
        <w:pStyle w:val="MainmainMAIN"/>
        <w:spacing w:after="60"/>
      </w:pPr>
      <w:r w:rsidRPr="00A61597">
        <w:rPr>
          <w:noProof/>
        </w:rPr>
        <w:drawing>
          <wp:inline distT="0" distB="0" distL="0" distR="0" wp14:anchorId="7E860603" wp14:editId="79CBCDF7">
            <wp:extent cx="5040000" cy="2613600"/>
            <wp:effectExtent l="0" t="0" r="8255" b="0"/>
            <wp:docPr id="15" name="Bille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40000" cy="2613600"/>
                    </a:xfrm>
                    <a:prstGeom prst="rect">
                      <a:avLst/>
                    </a:prstGeom>
                    <a:noFill/>
                    <a:ln>
                      <a:noFill/>
                    </a:ln>
                  </pic:spPr>
                </pic:pic>
              </a:graphicData>
            </a:graphic>
          </wp:inline>
        </w:drawing>
      </w:r>
    </w:p>
    <w:p w14:paraId="158C9D52" w14:textId="4B625D9C" w:rsidR="00054123" w:rsidRDefault="00054123" w:rsidP="00A61597">
      <w:pPr>
        <w:pStyle w:val="SubfigureSUB"/>
      </w:pPr>
      <w:r w:rsidRPr="00A61597">
        <w:rPr>
          <w:color w:val="FF0000"/>
        </w:rPr>
        <w:t>Figur 117</w:t>
      </w:r>
      <w:r w:rsidR="00A61597" w:rsidRPr="00A61597">
        <w:rPr>
          <w:color w:val="FF0000"/>
        </w:rPr>
        <w:t>.</w:t>
      </w:r>
      <w:r w:rsidRPr="00A61597">
        <w:t xml:space="preserve"> Kortlægning af de områder i verden der har de største potentialer for at producere energi fra solcelleanlæg. Kort af GSA (2017).</w:t>
      </w:r>
    </w:p>
    <w:p w14:paraId="4E7C03A4" w14:textId="19BBE589" w:rsidR="00054123" w:rsidRDefault="00054123" w:rsidP="00A61597">
      <w:pPr>
        <w:pStyle w:val="MainmainMAIN"/>
        <w:spacing w:after="60"/>
      </w:pPr>
      <w:r w:rsidRPr="00A61597">
        <w:rPr>
          <w:noProof/>
        </w:rPr>
        <w:lastRenderedPageBreak/>
        <w:drawing>
          <wp:inline distT="0" distB="0" distL="0" distR="0" wp14:anchorId="76A18F62" wp14:editId="1AA98806">
            <wp:extent cx="5040000" cy="4590000"/>
            <wp:effectExtent l="0" t="0" r="8255" b="1270"/>
            <wp:docPr id="14" name="Billed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040000" cy="4590000"/>
                    </a:xfrm>
                    <a:prstGeom prst="rect">
                      <a:avLst/>
                    </a:prstGeom>
                    <a:noFill/>
                    <a:ln>
                      <a:noFill/>
                    </a:ln>
                  </pic:spPr>
                </pic:pic>
              </a:graphicData>
            </a:graphic>
          </wp:inline>
        </w:drawing>
      </w:r>
    </w:p>
    <w:p w14:paraId="06A494E8" w14:textId="0CD1A759" w:rsidR="00054123" w:rsidRDefault="00054123" w:rsidP="00A61597">
      <w:pPr>
        <w:pStyle w:val="SubfigureSUB"/>
      </w:pPr>
      <w:r w:rsidRPr="00A61597">
        <w:rPr>
          <w:color w:val="FF0000"/>
        </w:rPr>
        <w:t>Figur 118</w:t>
      </w:r>
      <w:r w:rsidR="00A61597" w:rsidRPr="00A61597">
        <w:rPr>
          <w:color w:val="FF0000"/>
        </w:rPr>
        <w:t>.</w:t>
      </w:r>
      <w:r w:rsidRPr="00A61597">
        <w:t xml:space="preserve"> Kombineret system hvor solcellerne leverer energi til batterier, som kan bruges, når solcellen ikke leverer energi. Eventuel overskudsenergi sælges til elnettet. Princippet i solcellen ses i udsnittet. Af </w:t>
      </w:r>
      <w:proofErr w:type="spellStart"/>
      <w:r w:rsidRPr="00A61597">
        <w:t>MiMa</w:t>
      </w:r>
      <w:proofErr w:type="spellEnd"/>
      <w:r w:rsidRPr="00A61597">
        <w:t xml:space="preserve"> (2019).</w:t>
      </w:r>
    </w:p>
    <w:p w14:paraId="4D581E10" w14:textId="77777777" w:rsidR="00A61597" w:rsidRDefault="00A61597" w:rsidP="00A61597">
      <w:pPr>
        <w:pStyle w:val="MainmainMAIN"/>
        <w:spacing w:after="0"/>
      </w:pPr>
    </w:p>
    <w:p w14:paraId="72F13217" w14:textId="6B8DB05B" w:rsidR="00054123" w:rsidRDefault="00054123" w:rsidP="00A61597">
      <w:pPr>
        <w:pStyle w:val="MainmainMAIN"/>
        <w:spacing w:after="60"/>
      </w:pPr>
      <w:r w:rsidRPr="00A61597">
        <w:rPr>
          <w:noProof/>
        </w:rPr>
        <w:drawing>
          <wp:inline distT="0" distB="0" distL="0" distR="0" wp14:anchorId="2F068AD4" wp14:editId="74D41B6E">
            <wp:extent cx="5040000" cy="2498400"/>
            <wp:effectExtent l="0" t="0" r="8255" b="0"/>
            <wp:docPr id="13" name="Billed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40000" cy="2498400"/>
                    </a:xfrm>
                    <a:prstGeom prst="rect">
                      <a:avLst/>
                    </a:prstGeom>
                    <a:noFill/>
                    <a:ln>
                      <a:noFill/>
                    </a:ln>
                  </pic:spPr>
                </pic:pic>
              </a:graphicData>
            </a:graphic>
          </wp:inline>
        </w:drawing>
      </w:r>
    </w:p>
    <w:p w14:paraId="2A1B83D5" w14:textId="15EDFA06" w:rsidR="00054123" w:rsidRDefault="00054123" w:rsidP="00A61597">
      <w:pPr>
        <w:pStyle w:val="SubfigureSUB"/>
      </w:pPr>
      <w:r w:rsidRPr="00075375">
        <w:rPr>
          <w:color w:val="FF0000"/>
        </w:rPr>
        <w:t>Figur 120</w:t>
      </w:r>
      <w:r w:rsidR="00A61597" w:rsidRPr="00075375">
        <w:rPr>
          <w:color w:val="FF0000"/>
        </w:rPr>
        <w:t>.</w:t>
      </w:r>
      <w:r w:rsidRPr="00A61597">
        <w:t xml:space="preserve"> Lande der producerer gallium, germanium, selen, </w:t>
      </w:r>
      <w:proofErr w:type="spellStart"/>
      <w:r w:rsidRPr="00A61597">
        <w:t>tellurium</w:t>
      </w:r>
      <w:proofErr w:type="spellEnd"/>
      <w:r w:rsidRPr="00A61597">
        <w:t xml:space="preserve"> og indium. Af USGS (2019).</w:t>
      </w:r>
    </w:p>
    <w:p w14:paraId="7C9D565F" w14:textId="746ADD55" w:rsidR="00054123" w:rsidRDefault="00054123" w:rsidP="00A61597">
      <w:pPr>
        <w:pStyle w:val="MainmainMAIN"/>
        <w:spacing w:after="60"/>
      </w:pPr>
      <w:r w:rsidRPr="00A61597">
        <w:rPr>
          <w:noProof/>
        </w:rPr>
        <w:lastRenderedPageBreak/>
        <w:drawing>
          <wp:inline distT="0" distB="0" distL="0" distR="0" wp14:anchorId="2908B3F8" wp14:editId="082D2F38">
            <wp:extent cx="5040000" cy="2869200"/>
            <wp:effectExtent l="0" t="0" r="8255" b="7620"/>
            <wp:docPr id="7" name="Bille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040000" cy="2869200"/>
                    </a:xfrm>
                    <a:prstGeom prst="rect">
                      <a:avLst/>
                    </a:prstGeom>
                    <a:noFill/>
                    <a:ln>
                      <a:noFill/>
                    </a:ln>
                  </pic:spPr>
                </pic:pic>
              </a:graphicData>
            </a:graphic>
          </wp:inline>
        </w:drawing>
      </w:r>
    </w:p>
    <w:p w14:paraId="3B076C1B" w14:textId="42C73BE8" w:rsidR="00054123" w:rsidRDefault="00054123" w:rsidP="00A61597">
      <w:pPr>
        <w:pStyle w:val="SubfigureSUB"/>
      </w:pPr>
      <w:r w:rsidRPr="00A61597">
        <w:rPr>
          <w:color w:val="FF0000"/>
        </w:rPr>
        <w:t>Figur 121</w:t>
      </w:r>
      <w:r w:rsidR="00A61597" w:rsidRPr="00A61597">
        <w:rPr>
          <w:color w:val="FF0000"/>
        </w:rPr>
        <w:t>.</w:t>
      </w:r>
      <w:r w:rsidRPr="00A61597">
        <w:t xml:space="preserve"> Vigtige grundstoffer der bruges i solcelleindustrien. Af </w:t>
      </w:r>
      <w:proofErr w:type="spellStart"/>
      <w:r w:rsidRPr="00A61597">
        <w:t>MiMa</w:t>
      </w:r>
      <w:proofErr w:type="spellEnd"/>
      <w:r w:rsidRPr="00A61597">
        <w:t xml:space="preserve"> (2109).</w:t>
      </w:r>
    </w:p>
    <w:p w14:paraId="602B0923" w14:textId="77777777" w:rsidR="00A61597" w:rsidRDefault="00A61597" w:rsidP="00A61597">
      <w:pPr>
        <w:pStyle w:val="MainmainMAIN"/>
        <w:spacing w:after="0"/>
      </w:pPr>
    </w:p>
    <w:p w14:paraId="26CB095F" w14:textId="6B1AF4E9" w:rsidR="00054123" w:rsidRDefault="00054123" w:rsidP="00A61597">
      <w:pPr>
        <w:pStyle w:val="MainmainMAIN"/>
        <w:spacing w:after="60"/>
      </w:pPr>
      <w:r w:rsidRPr="00A61597">
        <w:rPr>
          <w:noProof/>
        </w:rPr>
        <w:drawing>
          <wp:inline distT="0" distB="0" distL="0" distR="0" wp14:anchorId="4DECF979" wp14:editId="48792C51">
            <wp:extent cx="5040000" cy="1605600"/>
            <wp:effectExtent l="0" t="0" r="8255" b="0"/>
            <wp:docPr id="5" name="Bille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40000" cy="1605600"/>
                    </a:xfrm>
                    <a:prstGeom prst="rect">
                      <a:avLst/>
                    </a:prstGeom>
                    <a:noFill/>
                    <a:ln>
                      <a:noFill/>
                    </a:ln>
                  </pic:spPr>
                </pic:pic>
              </a:graphicData>
            </a:graphic>
          </wp:inline>
        </w:drawing>
      </w:r>
    </w:p>
    <w:p w14:paraId="563358E1" w14:textId="6E0A66C4" w:rsidR="00054123" w:rsidRDefault="00054123" w:rsidP="00CF1460">
      <w:pPr>
        <w:pStyle w:val="SubfigureSUB"/>
        <w:spacing w:before="60"/>
      </w:pPr>
      <w:r w:rsidRPr="00075375">
        <w:rPr>
          <w:color w:val="FF0000"/>
        </w:rPr>
        <w:t>Figur 122</w:t>
      </w:r>
      <w:r w:rsidR="00A61597" w:rsidRPr="00075375">
        <w:rPr>
          <w:color w:val="FF0000"/>
        </w:rPr>
        <w:t>.</w:t>
      </w:r>
      <w:r w:rsidRPr="00A61597">
        <w:t xml:space="preserve"> Forbrug, årlig produktion i 2015 og geologiske reserver for </w:t>
      </w:r>
      <w:proofErr w:type="spellStart"/>
      <w:r w:rsidRPr="00A61597">
        <w:t>tellurium</w:t>
      </w:r>
      <w:proofErr w:type="spellEnd"/>
      <w:r w:rsidRPr="00A61597">
        <w:t xml:space="preserve">, gallium, selen, germanium og indium, der er de vigtigste materialer til produktionen af solceller. Bemærk at tallene for produktion og reserver er meget usikre, da selskaberne betragter produktion og forbrug som forretningshemmeligheder. Efter </w:t>
      </w:r>
      <w:proofErr w:type="spellStart"/>
      <w:r w:rsidRPr="00A61597">
        <w:t>Grandell</w:t>
      </w:r>
      <w:proofErr w:type="spellEnd"/>
      <w:r w:rsidRPr="00A61597">
        <w:t xml:space="preserve"> &amp; </w:t>
      </w:r>
      <w:proofErr w:type="spellStart"/>
      <w:r w:rsidRPr="00A61597">
        <w:t>Höök</w:t>
      </w:r>
      <w:proofErr w:type="spellEnd"/>
      <w:r w:rsidRPr="00A61597">
        <w:t xml:space="preserve"> (2015) og USGS (2019).</w:t>
      </w:r>
    </w:p>
    <w:p w14:paraId="2015725A" w14:textId="77777777" w:rsidR="00A61597" w:rsidRDefault="00A61597" w:rsidP="00A61597">
      <w:pPr>
        <w:pStyle w:val="MainmainMAIN"/>
        <w:spacing w:after="0"/>
      </w:pPr>
    </w:p>
    <w:p w14:paraId="0AE581A3" w14:textId="1E7803EF" w:rsidR="00054123" w:rsidRDefault="00054123" w:rsidP="00A61597">
      <w:pPr>
        <w:pStyle w:val="MainmainMAIN"/>
        <w:spacing w:after="60"/>
      </w:pPr>
      <w:r w:rsidRPr="00A61597">
        <w:rPr>
          <w:noProof/>
        </w:rPr>
        <w:lastRenderedPageBreak/>
        <w:drawing>
          <wp:inline distT="0" distB="0" distL="0" distR="0" wp14:anchorId="172B82A2" wp14:editId="6BA6095F">
            <wp:extent cx="5040000" cy="3042000"/>
            <wp:effectExtent l="0" t="0" r="8255" b="6350"/>
            <wp:docPr id="1"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040000" cy="3042000"/>
                    </a:xfrm>
                    <a:prstGeom prst="rect">
                      <a:avLst/>
                    </a:prstGeom>
                    <a:noFill/>
                    <a:ln>
                      <a:noFill/>
                    </a:ln>
                  </pic:spPr>
                </pic:pic>
              </a:graphicData>
            </a:graphic>
          </wp:inline>
        </w:drawing>
      </w:r>
    </w:p>
    <w:p w14:paraId="6410AE5B" w14:textId="3B77E0A5" w:rsidR="00CD1D4C" w:rsidRDefault="00054123" w:rsidP="00A61597">
      <w:pPr>
        <w:pStyle w:val="SubfigureSUB"/>
      </w:pPr>
      <w:r w:rsidRPr="00A61597">
        <w:rPr>
          <w:color w:val="FF0000"/>
        </w:rPr>
        <w:t>Figur 123</w:t>
      </w:r>
      <w:r w:rsidR="00A61597" w:rsidRPr="00A61597">
        <w:rPr>
          <w:color w:val="FF0000"/>
        </w:rPr>
        <w:t>.</w:t>
      </w:r>
      <w:r w:rsidRPr="00A61597">
        <w:t xml:space="preserve"> Udvikling i produktionen af gallium, germanium og </w:t>
      </w:r>
      <w:proofErr w:type="spellStart"/>
      <w:r w:rsidRPr="00A61597">
        <w:t>tellurium</w:t>
      </w:r>
      <w:proofErr w:type="spellEnd"/>
      <w:r w:rsidRPr="00A61597">
        <w:t xml:space="preserve">. Bemærk det er alle under 1.000 ton/år. Efter </w:t>
      </w:r>
      <w:proofErr w:type="spellStart"/>
      <w:r w:rsidRPr="00A61597">
        <w:t>Grandell</w:t>
      </w:r>
      <w:proofErr w:type="spellEnd"/>
      <w:r w:rsidRPr="00A61597">
        <w:t xml:space="preserve"> &amp; </w:t>
      </w:r>
      <w:proofErr w:type="spellStart"/>
      <w:r w:rsidRPr="00A61597">
        <w:t>Höök</w:t>
      </w:r>
      <w:proofErr w:type="spellEnd"/>
      <w:r w:rsidRPr="00A61597">
        <w:t xml:space="preserve"> (2015).</w:t>
      </w:r>
    </w:p>
    <w:p w14:paraId="1F1CBE4E" w14:textId="6BD064C4" w:rsidR="00E1403A" w:rsidRPr="0059182F" w:rsidRDefault="00E1403A" w:rsidP="00E1403A">
      <w:pPr>
        <w:pStyle w:val="Overskrift2"/>
        <w:numPr>
          <w:ilvl w:val="0"/>
          <w:numId w:val="0"/>
        </w:numPr>
        <w:rPr>
          <w:lang w:val="en-US"/>
        </w:rPr>
      </w:pPr>
      <w:proofErr w:type="spellStart"/>
      <w:r w:rsidRPr="0059182F">
        <w:rPr>
          <w:lang w:val="en-US"/>
        </w:rPr>
        <w:t>Referencer</w:t>
      </w:r>
      <w:proofErr w:type="spellEnd"/>
    </w:p>
    <w:p w14:paraId="55F8CDF7" w14:textId="77777777" w:rsidR="00AF2850" w:rsidRPr="00AF2850" w:rsidRDefault="00AF2850" w:rsidP="00AF2850">
      <w:pPr>
        <w:pStyle w:val="MainmainMAIN"/>
        <w:rPr>
          <w:lang w:val="en-US"/>
        </w:rPr>
      </w:pPr>
      <w:proofErr w:type="spellStart"/>
      <w:r w:rsidRPr="00AF2850">
        <w:rPr>
          <w:lang w:val="en-US"/>
        </w:rPr>
        <w:t>Grandell</w:t>
      </w:r>
      <w:proofErr w:type="spellEnd"/>
      <w:r w:rsidRPr="00AF2850">
        <w:rPr>
          <w:lang w:val="en-US"/>
        </w:rPr>
        <w:t xml:space="preserve">, L., &amp; </w:t>
      </w:r>
      <w:proofErr w:type="spellStart"/>
      <w:r w:rsidRPr="00AF2850">
        <w:rPr>
          <w:lang w:val="en-US"/>
        </w:rPr>
        <w:t>Höök</w:t>
      </w:r>
      <w:proofErr w:type="spellEnd"/>
      <w:r w:rsidRPr="00AF2850">
        <w:rPr>
          <w:lang w:val="en-US"/>
        </w:rPr>
        <w:t xml:space="preserve">, M. (2015). Assessing Rare Metal Availability Challenges for Solar Energy Technologies. </w:t>
      </w:r>
      <w:r w:rsidRPr="00AF2850">
        <w:rPr>
          <w:rStyle w:val="Italic"/>
          <w:lang w:val="en-US"/>
        </w:rPr>
        <w:t>Sustainability: Science Practice and Policy</w:t>
      </w:r>
      <w:r w:rsidRPr="00AF2850">
        <w:rPr>
          <w:lang w:val="en-US"/>
        </w:rPr>
        <w:t>, 7(9), 11818–11837.</w:t>
      </w:r>
    </w:p>
    <w:p w14:paraId="45025094" w14:textId="77777777" w:rsidR="00AF2850" w:rsidRPr="00AF2850" w:rsidRDefault="00AF2850" w:rsidP="00AF2850">
      <w:pPr>
        <w:pStyle w:val="MainmainMAIN"/>
        <w:rPr>
          <w:lang w:val="en-US"/>
        </w:rPr>
      </w:pPr>
      <w:r w:rsidRPr="00AF2850">
        <w:rPr>
          <w:lang w:val="en-US"/>
        </w:rPr>
        <w:t xml:space="preserve">GSA. (2017). Global Solar Atlas. </w:t>
      </w:r>
      <w:proofErr w:type="spellStart"/>
      <w:r w:rsidRPr="00AF2850">
        <w:rPr>
          <w:lang w:val="en-US"/>
        </w:rPr>
        <w:t>Hentet</w:t>
      </w:r>
      <w:proofErr w:type="spellEnd"/>
      <w:r w:rsidRPr="00AF2850">
        <w:rPr>
          <w:lang w:val="en-US"/>
        </w:rPr>
        <w:t xml:space="preserve"> </w:t>
      </w:r>
      <w:proofErr w:type="spellStart"/>
      <w:r w:rsidRPr="00AF2850">
        <w:rPr>
          <w:lang w:val="en-US"/>
        </w:rPr>
        <w:t>fra</w:t>
      </w:r>
      <w:proofErr w:type="spellEnd"/>
      <w:r w:rsidRPr="00AF2850">
        <w:rPr>
          <w:lang w:val="en-US"/>
        </w:rPr>
        <w:t xml:space="preserve"> </w:t>
      </w:r>
      <w:r w:rsidRPr="00AF2850">
        <w:rPr>
          <w:rStyle w:val="Hyperlink"/>
          <w:lang w:val="en-US"/>
        </w:rPr>
        <w:t>https://globalsolaratlas.info/</w:t>
      </w:r>
    </w:p>
    <w:p w14:paraId="04DA0686" w14:textId="77777777" w:rsidR="00AF2850" w:rsidRPr="00AF2850" w:rsidRDefault="00AF2850" w:rsidP="00AF2850">
      <w:pPr>
        <w:pStyle w:val="MainmainMAIN"/>
        <w:rPr>
          <w:lang w:val="en-US"/>
        </w:rPr>
      </w:pPr>
      <w:r w:rsidRPr="00AF2850">
        <w:rPr>
          <w:lang w:val="en-US"/>
        </w:rPr>
        <w:t xml:space="preserve">IEA. (2018). </w:t>
      </w:r>
      <w:r w:rsidRPr="00AF2850">
        <w:rPr>
          <w:rStyle w:val="Hyperlink"/>
          <w:lang w:val="en-US"/>
        </w:rPr>
        <w:t>World Energy Outlook 2018</w:t>
      </w:r>
      <w:r w:rsidRPr="00AF2850">
        <w:rPr>
          <w:lang w:val="en-US"/>
        </w:rPr>
        <w:t xml:space="preserve">. </w:t>
      </w:r>
      <w:proofErr w:type="spellStart"/>
      <w:r w:rsidRPr="00AF2850">
        <w:rPr>
          <w:lang w:val="en-US"/>
        </w:rPr>
        <w:t>Organisation</w:t>
      </w:r>
      <w:proofErr w:type="spellEnd"/>
      <w:r w:rsidRPr="00AF2850">
        <w:rPr>
          <w:lang w:val="en-US"/>
        </w:rPr>
        <w:t xml:space="preserve"> for Economic Co-Operation and Development.</w:t>
      </w:r>
    </w:p>
    <w:p w14:paraId="3B390478" w14:textId="77777777" w:rsidR="00AF2850" w:rsidRPr="00AF2850" w:rsidRDefault="00AF2850" w:rsidP="00AF2850">
      <w:pPr>
        <w:pStyle w:val="MainmainMAIN"/>
        <w:rPr>
          <w:lang w:val="en-US"/>
        </w:rPr>
      </w:pPr>
      <w:r w:rsidRPr="00AF2850">
        <w:rPr>
          <w:lang w:val="en-US"/>
        </w:rPr>
        <w:t xml:space="preserve">USGS. (2019). </w:t>
      </w:r>
      <w:r w:rsidRPr="00AF2850">
        <w:rPr>
          <w:rStyle w:val="Hyperlink"/>
          <w:lang w:val="en-US"/>
        </w:rPr>
        <w:t>Mineral Commodity Summaries 2019</w:t>
      </w:r>
      <w:r w:rsidRPr="00AF2850">
        <w:rPr>
          <w:lang w:val="en-US"/>
        </w:rPr>
        <w:t>. U.S. Geological Survey.</w:t>
      </w:r>
    </w:p>
    <w:p w14:paraId="7FB2581A" w14:textId="7BDE5343" w:rsidR="00AB643B" w:rsidRPr="00BD5A80" w:rsidRDefault="00AF2850" w:rsidP="00AF2850">
      <w:pPr>
        <w:pStyle w:val="MainmainMAIN"/>
        <w:rPr>
          <w:lang w:val="en-US"/>
        </w:rPr>
      </w:pPr>
      <w:r>
        <w:t>V</w:t>
      </w:r>
      <w:r w:rsidR="000E3155">
        <w:t>iva Energi</w:t>
      </w:r>
      <w:r>
        <w:t>. (</w:t>
      </w:r>
      <w:proofErr w:type="spellStart"/>
      <w:r>
        <w:t>u.å</w:t>
      </w:r>
      <w:proofErr w:type="spellEnd"/>
      <w:r>
        <w:t xml:space="preserve">.). Hvordan fungerer et Hybrid solcelleanlæg med batteri? Hentet fra </w:t>
      </w:r>
      <w:r>
        <w:rPr>
          <w:rStyle w:val="Hyperlink"/>
        </w:rPr>
        <w:t>https://www.vivaenergi.dk/Hvordan_virker_det</w:t>
      </w:r>
    </w:p>
    <w:p w14:paraId="201DA71F" w14:textId="16C41C23" w:rsidR="00F26EA6" w:rsidRPr="00BD5A80" w:rsidRDefault="00F26EA6" w:rsidP="00F26EA6">
      <w:pPr>
        <w:tabs>
          <w:tab w:val="left" w:pos="3223"/>
        </w:tabs>
        <w:rPr>
          <w:lang w:val="en-US"/>
        </w:rPr>
      </w:pPr>
    </w:p>
    <w:sectPr w:rsidR="00F26EA6" w:rsidRPr="00BD5A80" w:rsidSect="00F20AC9">
      <w:headerReference w:type="even" r:id="rId20"/>
      <w:headerReference w:type="default" r:id="rId21"/>
      <w:footerReference w:type="even" r:id="rId22"/>
      <w:footerReference w:type="default" r:id="rId23"/>
      <w:headerReference w:type="first" r:id="rId24"/>
      <w:footerReference w:type="first" r:id="rId25"/>
      <w:pgSz w:w="11906" w:h="16838" w:code="9"/>
      <w:pgMar w:top="1701" w:right="1418" w:bottom="1418" w:left="1418" w:header="709" w:footer="851" w:gutter="0"/>
      <w:pgNumType w:start="1"/>
      <w:cols w:space="708"/>
      <w:docGrid w:linePitch="28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673FB96" w14:textId="77777777" w:rsidR="00650098" w:rsidRDefault="00650098">
      <w:r>
        <w:separator/>
      </w:r>
    </w:p>
  </w:endnote>
  <w:endnote w:type="continuationSeparator" w:id="0">
    <w:p w14:paraId="7D4D13F6" w14:textId="77777777" w:rsidR="00650098" w:rsidRDefault="006500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KievitPro-ExtraBold">
    <w:altName w:val="Calibri"/>
    <w:panose1 w:val="00000000000000000000"/>
    <w:charset w:val="00"/>
    <w:family w:val="swiss"/>
    <w:notTrueType/>
    <w:pitch w:val="variable"/>
    <w:sig w:usb0="A00002FF" w:usb1="4000205B" w:usb2="00000000" w:usb3="00000000" w:csb0="0000009F" w:csb1="00000000"/>
  </w:font>
  <w:font w:name="KievitPro-Medium">
    <w:panose1 w:val="02000503040000020004"/>
    <w:charset w:val="00"/>
    <w:family w:val="auto"/>
    <w:pitch w:val="variable"/>
    <w:sig w:usb0="A00002AF" w:usb1="4000204B" w:usb2="00000000" w:usb3="00000000" w:csb0="0000009F" w:csb1="00000000"/>
  </w:font>
  <w:font w:name="KievitPro-Regular">
    <w:altName w:val="Calibri"/>
    <w:panose1 w:val="00000000000000000000"/>
    <w:charset w:val="00"/>
    <w:family w:val="swiss"/>
    <w:notTrueType/>
    <w:pitch w:val="variable"/>
    <w:sig w:usb0="A00002FF" w:usb1="4000205B" w:usb2="00000000" w:usb3="00000000" w:csb0="0000009F" w:csb1="00000000"/>
  </w:font>
  <w:font w:name="KievitPro-Light">
    <w:altName w:val="Calibri"/>
    <w:panose1 w:val="00000000000000000000"/>
    <w:charset w:val="00"/>
    <w:family w:val="swiss"/>
    <w:notTrueType/>
    <w:pitch w:val="variable"/>
    <w:sig w:usb0="A00002FF" w:usb1="4000205B" w:usb2="00000000" w:usb3="00000000" w:csb0="0000009F" w:csb1="00000000"/>
  </w:font>
  <w:font w:name="Segoe UI">
    <w:panose1 w:val="020B0502040204020203"/>
    <w:charset w:val="00"/>
    <w:family w:val="swiss"/>
    <w:pitch w:val="variable"/>
    <w:sig w:usb0="E4002EFF" w:usb1="C000E47F" w:usb2="00000009" w:usb3="00000000" w:csb0="000001FF" w:csb1="00000000"/>
  </w:font>
  <w:font w:name="KievitPro-Italic">
    <w:altName w:val="Calibri"/>
    <w:panose1 w:val="00000000000000000000"/>
    <w:charset w:val="00"/>
    <w:family w:val="swiss"/>
    <w:notTrueType/>
    <w:pitch w:val="variable"/>
    <w:sig w:usb0="A00002FF" w:usb1="4000205B"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20C100" w14:textId="77777777" w:rsidR="00A3043D" w:rsidRDefault="00A3043D">
    <w:pPr>
      <w:pStyle w:val="Sidefod"/>
    </w:pPr>
  </w:p>
  <w:p w14:paraId="6D991E53" w14:textId="77777777" w:rsidR="00A3043D" w:rsidRDefault="00A3043D">
    <w:pPr>
      <w:pStyle w:val="Sidefod"/>
    </w:pPr>
  </w:p>
  <w:p w14:paraId="262D43C6" w14:textId="1082113E" w:rsidR="00A3043D" w:rsidRPr="0046481C" w:rsidRDefault="00A3043D">
    <w:pPr>
      <w:pStyle w:val="Sidefod"/>
      <w:tabs>
        <w:tab w:val="clear" w:pos="4986"/>
        <w:tab w:val="clear" w:pos="9972"/>
        <w:tab w:val="right" w:pos="8505"/>
      </w:tabs>
      <w:rPr>
        <w:rFonts w:ascii="KievitPro-Regular" w:hAnsi="KievitPro-Regular"/>
      </w:rPr>
    </w:pPr>
    <w:r w:rsidRPr="0046481C">
      <w:rPr>
        <w:rStyle w:val="Sidetal"/>
        <w:rFonts w:ascii="KievitPro-Regular" w:hAnsi="KievitPro-Regular"/>
      </w:rPr>
      <w:fldChar w:fldCharType="begin"/>
    </w:r>
    <w:r w:rsidRPr="0046481C">
      <w:rPr>
        <w:rStyle w:val="Sidetal"/>
        <w:rFonts w:ascii="KievitPro-Regular" w:hAnsi="KievitPro-Regular"/>
      </w:rPr>
      <w:instrText xml:space="preserve"> PAGE </w:instrText>
    </w:r>
    <w:r w:rsidRPr="0046481C">
      <w:rPr>
        <w:rStyle w:val="Sidetal"/>
        <w:rFonts w:ascii="KievitPro-Regular" w:hAnsi="KievitPro-Regular"/>
      </w:rPr>
      <w:fldChar w:fldCharType="separate"/>
    </w:r>
    <w:r w:rsidRPr="0046481C">
      <w:rPr>
        <w:rStyle w:val="Sidetal"/>
        <w:rFonts w:ascii="KievitPro-Regular" w:hAnsi="KievitPro-Regular"/>
      </w:rPr>
      <w:t>4</w:t>
    </w:r>
    <w:r w:rsidRPr="0046481C">
      <w:rPr>
        <w:rStyle w:val="Sidetal"/>
        <w:rFonts w:ascii="KievitPro-Regular" w:hAnsi="KievitPro-Regular"/>
      </w:rPr>
      <w:fldChar w:fldCharType="end"/>
    </w:r>
    <w:r w:rsidRPr="0046481C">
      <w:rPr>
        <w:rStyle w:val="Sidetal"/>
        <w:rFonts w:ascii="KievitPro-Regular" w:hAnsi="KievitPro-Regular"/>
      </w:rPr>
      <w:tab/>
    </w:r>
    <w:r w:rsidR="0046481C" w:rsidRPr="0046481C">
      <w:rPr>
        <w:rStyle w:val="Sidetal"/>
        <w:rFonts w:ascii="KievitPro-Regular" w:hAnsi="KievitPro-Regular"/>
      </w:rPr>
      <w:t>M</w:t>
    </w:r>
    <w:r w:rsidRPr="0046481C">
      <w:rPr>
        <w:rStyle w:val="Sidetal"/>
        <w:rFonts w:ascii="KievitPro-Regular" w:hAnsi="KievitPro-Regular"/>
      </w:rPr>
      <w:t xml:space="preserve"> </w:t>
    </w:r>
    <w:r w:rsidR="0046481C" w:rsidRPr="0046481C">
      <w:rPr>
        <w:rStyle w:val="Sidetal"/>
        <w:rFonts w:ascii="KievitPro-Regular" w:hAnsi="KievitPro-Regular"/>
      </w:rPr>
      <w:t>i</w:t>
    </w:r>
    <w:r w:rsidRPr="0046481C">
      <w:rPr>
        <w:rStyle w:val="Sidetal"/>
        <w:rFonts w:ascii="KievitPro-Regular" w:hAnsi="KievitPro-Regular"/>
      </w:rPr>
      <w:t xml:space="preserve"> </w:t>
    </w:r>
    <w:r w:rsidR="0046481C" w:rsidRPr="0046481C">
      <w:rPr>
        <w:rStyle w:val="Sidetal"/>
        <w:rFonts w:ascii="KievitPro-Regular" w:hAnsi="KievitPro-Regular"/>
      </w:rPr>
      <w:t>M</w:t>
    </w:r>
    <w:r w:rsidRPr="0046481C">
      <w:rPr>
        <w:rStyle w:val="Sidetal"/>
        <w:rFonts w:ascii="KievitPro-Regular" w:hAnsi="KievitPro-Regular"/>
      </w:rPr>
      <w:t xml:space="preserve"> </w:t>
    </w:r>
    <w:r w:rsidR="0046481C" w:rsidRPr="0046481C">
      <w:rPr>
        <w:rStyle w:val="Sidetal"/>
        <w:rFonts w:ascii="KievitPro-Regular" w:hAnsi="KievitPro-Regular"/>
      </w:rPr>
      <w:t>a</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E0BAFC" w14:textId="6B78AB9F" w:rsidR="00A3043D" w:rsidRDefault="00A3043D">
    <w:pPr>
      <w:pStyle w:val="Sidefod"/>
    </w:pPr>
  </w:p>
  <w:p w14:paraId="63D0CB6B" w14:textId="358EDEEC" w:rsidR="0027446C" w:rsidRDefault="00B918EA">
    <w:pPr>
      <w:pStyle w:val="Sidefod"/>
    </w:pPr>
    <w:r>
      <w:t xml:space="preserve"> </w:t>
    </w:r>
  </w:p>
  <w:p w14:paraId="217218AF" w14:textId="1D9617C9" w:rsidR="00A3043D" w:rsidRPr="0046481C" w:rsidRDefault="00B918EA" w:rsidP="00B918EA">
    <w:pPr>
      <w:pStyle w:val="Sidefod"/>
      <w:tabs>
        <w:tab w:val="clear" w:pos="4986"/>
        <w:tab w:val="clear" w:pos="9972"/>
        <w:tab w:val="center" w:pos="3402"/>
        <w:tab w:val="right" w:pos="9070"/>
      </w:tabs>
      <w:ind w:firstLine="1816"/>
      <w:jc w:val="center"/>
      <w:rPr>
        <w:rFonts w:ascii="KievitPro-Regular" w:hAnsi="KievitPro-Regular"/>
      </w:rPr>
    </w:pPr>
    <w:r>
      <w:rPr>
        <w:rFonts w:ascii="KievitPro-Regular" w:hAnsi="KievitPro-Regular"/>
        <w:noProof/>
        <w:color w:val="000000"/>
        <w:sz w:val="24"/>
        <w:szCs w:val="24"/>
      </w:rPr>
      <w:drawing>
        <wp:anchor distT="0" distB="0" distL="114300" distR="114300" simplePos="0" relativeHeight="251661312" behindDoc="0" locked="0" layoutInCell="1" allowOverlap="1" wp14:anchorId="54BA3C94" wp14:editId="5C0B38CC">
          <wp:simplePos x="0" y="0"/>
          <wp:positionH relativeFrom="margin">
            <wp:align>left</wp:align>
          </wp:positionH>
          <wp:positionV relativeFrom="paragraph">
            <wp:posOffset>3810</wp:posOffset>
          </wp:positionV>
          <wp:extent cx="474980" cy="179705"/>
          <wp:effectExtent l="0" t="0" r="1270" b="0"/>
          <wp:wrapNone/>
          <wp:docPr id="9" name="Billede 9" descr="Et billede, der indeholder tegning, skilt&#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Mimalogo.jpg"/>
                  <pic:cNvPicPr/>
                </pic:nvPicPr>
                <pic:blipFill>
                  <a:blip r:embed="rId1">
                    <a:extLst>
                      <a:ext uri="{28A0092B-C50C-407E-A947-70E740481C1C}">
                        <a14:useLocalDpi xmlns:a14="http://schemas.microsoft.com/office/drawing/2010/main" val="0"/>
                      </a:ext>
                    </a:extLst>
                  </a:blip>
                  <a:stretch>
                    <a:fillRect/>
                  </a:stretch>
                </pic:blipFill>
                <pic:spPr>
                  <a:xfrm>
                    <a:off x="0" y="0"/>
                    <a:ext cx="474980" cy="179705"/>
                  </a:xfrm>
                  <a:prstGeom prst="rect">
                    <a:avLst/>
                  </a:prstGeom>
                </pic:spPr>
              </pic:pic>
            </a:graphicData>
          </a:graphic>
          <wp14:sizeRelH relativeFrom="page">
            <wp14:pctWidth>0</wp14:pctWidth>
          </wp14:sizeRelH>
          <wp14:sizeRelV relativeFrom="page">
            <wp14:pctHeight>0</wp14:pctHeight>
          </wp14:sizeRelV>
        </wp:anchor>
      </w:drawing>
    </w:r>
    <w:r>
      <w:rPr>
        <w:rStyle w:val="Sidetal"/>
        <w:rFonts w:ascii="KievitPro-Regular" w:hAnsi="KievitPro-Regular"/>
      </w:rPr>
      <w:t xml:space="preserve">  </w:t>
    </w:r>
    <w:r w:rsidR="008D76CB">
      <w:rPr>
        <w:rStyle w:val="Sidetal"/>
        <w:rFonts w:ascii="KievitPro-Regular" w:hAnsi="KievitPro-Regular"/>
      </w:rPr>
      <w:t>Videncenter for Mineralske Råstoffer og Materialer – M i M a</w:t>
    </w:r>
    <w:r w:rsidR="008D76CB">
      <w:rPr>
        <w:rStyle w:val="Sidetal"/>
        <w:rFonts w:ascii="KievitPro-Regular" w:hAnsi="KievitPro-Regular"/>
      </w:rPr>
      <w:tab/>
    </w:r>
    <w:r w:rsidR="00A3043D" w:rsidRPr="0046481C">
      <w:rPr>
        <w:rStyle w:val="Sidetal"/>
        <w:rFonts w:ascii="KievitPro-Regular" w:hAnsi="KievitPro-Regular"/>
      </w:rPr>
      <w:fldChar w:fldCharType="begin"/>
    </w:r>
    <w:r w:rsidR="00A3043D" w:rsidRPr="0046481C">
      <w:rPr>
        <w:rStyle w:val="Sidetal"/>
        <w:rFonts w:ascii="KievitPro-Regular" w:hAnsi="KievitPro-Regular"/>
      </w:rPr>
      <w:instrText xml:space="preserve"> PAGE </w:instrText>
    </w:r>
    <w:r w:rsidR="00A3043D" w:rsidRPr="0046481C">
      <w:rPr>
        <w:rStyle w:val="Sidetal"/>
        <w:rFonts w:ascii="KievitPro-Regular" w:hAnsi="KievitPro-Regular"/>
      </w:rPr>
      <w:fldChar w:fldCharType="separate"/>
    </w:r>
    <w:r w:rsidR="00A5447D" w:rsidRPr="0046481C">
      <w:rPr>
        <w:rStyle w:val="Sidetal"/>
        <w:rFonts w:ascii="KievitPro-Regular" w:hAnsi="KievitPro-Regular"/>
        <w:noProof/>
      </w:rPr>
      <w:t>3</w:t>
    </w:r>
    <w:r w:rsidR="00A3043D" w:rsidRPr="0046481C">
      <w:rPr>
        <w:rStyle w:val="Sidetal"/>
        <w:rFonts w:ascii="KievitPro-Regular" w:hAnsi="KievitPro-Regular"/>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A09788" w14:textId="77777777" w:rsidR="00F20AC9" w:rsidRDefault="00F20AC9">
    <w:pPr>
      <w:pStyle w:val="Sidefo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7FDFE5D" w14:textId="77777777" w:rsidR="00650098" w:rsidRDefault="00650098">
      <w:r>
        <w:separator/>
      </w:r>
    </w:p>
  </w:footnote>
  <w:footnote w:type="continuationSeparator" w:id="0">
    <w:p w14:paraId="1EAD5BF7" w14:textId="77777777" w:rsidR="00650098" w:rsidRDefault="0065009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29AE83" w14:textId="77777777" w:rsidR="00F20AC9" w:rsidRDefault="00F20AC9">
    <w:pPr>
      <w:pStyle w:val="Sidehoved"/>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C2655D" w14:textId="0A86DB7C" w:rsidR="006A549A" w:rsidRDefault="00940432" w:rsidP="006A549A">
    <w:pPr>
      <w:pStyle w:val="Sidehoved"/>
      <w:tabs>
        <w:tab w:val="clear" w:pos="4986"/>
        <w:tab w:val="clear" w:pos="9972"/>
      </w:tabs>
      <w:jc w:val="center"/>
      <w:rPr>
        <w:rFonts w:ascii="KievitPro-Regular" w:hAnsi="KievitPro-Regular"/>
        <w:color w:val="000000"/>
        <w:sz w:val="24"/>
        <w:szCs w:val="24"/>
      </w:rPr>
    </w:pPr>
    <w:r>
      <w:rPr>
        <w:rFonts w:ascii="KievitPro-Regular" w:hAnsi="KievitPro-Regular"/>
        <w:noProof/>
        <w:color w:val="000000"/>
        <w:sz w:val="24"/>
        <w:szCs w:val="24"/>
      </w:rPr>
      <w:drawing>
        <wp:anchor distT="0" distB="0" distL="114300" distR="114300" simplePos="0" relativeHeight="251667456" behindDoc="0" locked="0" layoutInCell="1" allowOverlap="1" wp14:anchorId="3F8A5EB3" wp14:editId="4439D0C6">
          <wp:simplePos x="0" y="0"/>
          <wp:positionH relativeFrom="page">
            <wp:posOffset>5943600</wp:posOffset>
          </wp:positionH>
          <wp:positionV relativeFrom="paragraph">
            <wp:posOffset>71937</wp:posOffset>
          </wp:positionV>
          <wp:extent cx="1066800" cy="266700"/>
          <wp:effectExtent l="0" t="0" r="0" b="0"/>
          <wp:wrapNone/>
          <wp:docPr id="10" name="Billede 10" descr="Et billede, der indeholder tegning&#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C logo dk rgb hvid kasse sort tekst.png"/>
                  <pic:cNvPicPr/>
                </pic:nvPicPr>
                <pic:blipFill>
                  <a:blip r:embed="rId1">
                    <a:extLst>
                      <a:ext uri="{28A0092B-C50C-407E-A947-70E740481C1C}">
                        <a14:useLocalDpi xmlns:a14="http://schemas.microsoft.com/office/drawing/2010/main" val="0"/>
                      </a:ext>
                    </a:extLst>
                  </a:blip>
                  <a:stretch>
                    <a:fillRect/>
                  </a:stretch>
                </pic:blipFill>
                <pic:spPr>
                  <a:xfrm>
                    <a:off x="0" y="0"/>
                    <a:ext cx="1066800" cy="266700"/>
                  </a:xfrm>
                  <a:prstGeom prst="rect">
                    <a:avLst/>
                  </a:prstGeom>
                </pic:spPr>
              </pic:pic>
            </a:graphicData>
          </a:graphic>
          <wp14:sizeRelH relativeFrom="page">
            <wp14:pctWidth>0</wp14:pctWidth>
          </wp14:sizeRelH>
          <wp14:sizeRelV relativeFrom="page">
            <wp14:pctHeight>0</wp14:pctHeight>
          </wp14:sizeRelV>
        </wp:anchor>
      </w:drawing>
    </w:r>
    <w:r w:rsidR="006A549A">
      <w:rPr>
        <w:rFonts w:ascii="KievitPro-Regular" w:hAnsi="KievitPro-Regular"/>
        <w:noProof/>
        <w:color w:val="000000"/>
        <w:sz w:val="24"/>
        <w:szCs w:val="24"/>
      </w:rPr>
      <w:drawing>
        <wp:anchor distT="0" distB="0" distL="114300" distR="114300" simplePos="0" relativeHeight="251666432" behindDoc="1" locked="0" layoutInCell="1" allowOverlap="1" wp14:anchorId="222118D5" wp14:editId="74EF114A">
          <wp:simplePos x="0" y="0"/>
          <wp:positionH relativeFrom="margin">
            <wp:align>left</wp:align>
          </wp:positionH>
          <wp:positionV relativeFrom="paragraph">
            <wp:posOffset>-208007</wp:posOffset>
          </wp:positionV>
          <wp:extent cx="540000" cy="720000"/>
          <wp:effectExtent l="0" t="0" r="0" b="4445"/>
          <wp:wrapNone/>
          <wp:docPr id="8" name="Bille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EUS_logo_sorttekst_RGB.png"/>
                  <pic:cNvPicPr/>
                </pic:nvPicPr>
                <pic:blipFill>
                  <a:blip r:embed="rId2">
                    <a:extLst>
                      <a:ext uri="{28A0092B-C50C-407E-A947-70E740481C1C}">
                        <a14:useLocalDpi xmlns:a14="http://schemas.microsoft.com/office/drawing/2010/main" val="0"/>
                      </a:ext>
                    </a:extLst>
                  </a:blip>
                  <a:stretch>
                    <a:fillRect/>
                  </a:stretch>
                </pic:blipFill>
                <pic:spPr>
                  <a:xfrm>
                    <a:off x="0" y="0"/>
                    <a:ext cx="540000" cy="720000"/>
                  </a:xfrm>
                  <a:prstGeom prst="rect">
                    <a:avLst/>
                  </a:prstGeom>
                </pic:spPr>
              </pic:pic>
            </a:graphicData>
          </a:graphic>
          <wp14:sizeRelH relativeFrom="page">
            <wp14:pctWidth>0</wp14:pctWidth>
          </wp14:sizeRelH>
          <wp14:sizeRelV relativeFrom="page">
            <wp14:pctHeight>0</wp14:pctHeight>
          </wp14:sizeRelV>
        </wp:anchor>
      </w:drawing>
    </w:r>
    <w:r w:rsidR="006A549A" w:rsidRPr="002725C7">
      <w:rPr>
        <w:rFonts w:ascii="KievitPro-Regular" w:hAnsi="KievitPro-Regular"/>
        <w:color w:val="000000"/>
        <w:sz w:val="24"/>
        <w:szCs w:val="24"/>
      </w:rPr>
      <w:t xml:space="preserve">Opgaver til </w:t>
    </w:r>
    <w:r w:rsidR="006A549A" w:rsidRPr="002725C7">
      <w:rPr>
        <w:rFonts w:ascii="KievitPro-Regular" w:hAnsi="KievitPro-Regular"/>
        <w:smallCaps/>
        <w:color w:val="000000"/>
        <w:sz w:val="24"/>
        <w:szCs w:val="24"/>
      </w:rPr>
      <w:t>Mineralske råstoffer, bæredygtighed og innovation</w:t>
    </w:r>
  </w:p>
  <w:p w14:paraId="49B79021" w14:textId="69D61BF1" w:rsidR="006A549A" w:rsidRDefault="006A549A" w:rsidP="006A549A">
    <w:pPr>
      <w:pStyle w:val="Sidehoved"/>
      <w:tabs>
        <w:tab w:val="clear" w:pos="4986"/>
        <w:tab w:val="clear" w:pos="9972"/>
      </w:tabs>
      <w:jc w:val="center"/>
      <w:rPr>
        <w:rFonts w:ascii="KievitPro-Regular" w:hAnsi="KievitPro-Regular"/>
        <w:color w:val="000000"/>
        <w:sz w:val="20"/>
      </w:rPr>
    </w:pPr>
    <w:r w:rsidRPr="001B0C5F">
      <w:rPr>
        <w:rFonts w:ascii="KievitPro-Regular" w:hAnsi="KievitPro-Regular"/>
        <w:color w:val="000000"/>
        <w:sz w:val="20"/>
      </w:rPr>
      <w:t xml:space="preserve">Af Troels Kullberg, Per Kalvig og Matilde Rink Jørgensen, </w:t>
    </w:r>
    <w:proofErr w:type="spellStart"/>
    <w:r w:rsidRPr="001B0C5F">
      <w:rPr>
        <w:rFonts w:ascii="KievitPro-Regular" w:hAnsi="KievitPro-Regular"/>
        <w:color w:val="000000"/>
        <w:sz w:val="20"/>
      </w:rPr>
      <w:t>MiMa</w:t>
    </w:r>
    <w:proofErr w:type="spellEnd"/>
    <w:r w:rsidRPr="001B0C5F">
      <w:rPr>
        <w:rFonts w:ascii="KievitPro-Regular" w:hAnsi="KievitPro-Regular"/>
        <w:color w:val="000000"/>
        <w:sz w:val="20"/>
      </w:rPr>
      <w:t xml:space="preserve"> </w:t>
    </w:r>
    <w:r w:rsidR="001E4E71">
      <w:rPr>
        <w:rFonts w:ascii="KievitPro-Regular" w:hAnsi="KievitPro-Regular"/>
        <w:color w:val="000000"/>
        <w:sz w:val="20"/>
      </w:rPr>
      <w:t>(</w:t>
    </w:r>
    <w:r w:rsidRPr="001B0C5F">
      <w:rPr>
        <w:rFonts w:ascii="KievitPro-Regular" w:hAnsi="KievitPro-Regular"/>
        <w:color w:val="000000"/>
        <w:sz w:val="20"/>
      </w:rPr>
      <w:t>2020</w:t>
    </w:r>
    <w:r w:rsidR="001E4E71">
      <w:rPr>
        <w:rFonts w:ascii="KievitPro-Regular" w:hAnsi="KievitPro-Regular"/>
        <w:color w:val="000000"/>
        <w:sz w:val="20"/>
      </w:rPr>
      <w:t>)</w:t>
    </w:r>
  </w:p>
  <w:p w14:paraId="21C5C13C" w14:textId="5BE400F6" w:rsidR="006A549A" w:rsidRDefault="006D68CC" w:rsidP="00496CE0">
    <w:pPr>
      <w:pStyle w:val="Sidehoved"/>
      <w:tabs>
        <w:tab w:val="clear" w:pos="4986"/>
        <w:tab w:val="clear" w:pos="9972"/>
      </w:tabs>
      <w:jc w:val="center"/>
      <w:rPr>
        <w:rFonts w:ascii="KievitPro-Regular" w:hAnsi="KievitPro-Regular"/>
        <w:color w:val="000000"/>
        <w:sz w:val="18"/>
        <w:szCs w:val="18"/>
      </w:rPr>
    </w:pPr>
    <w:r w:rsidRPr="00F65D72">
      <w:rPr>
        <w:rFonts w:ascii="KievitPro-Regular" w:hAnsi="KievitPro-Regular"/>
        <w:color w:val="000000"/>
        <w:sz w:val="18"/>
        <w:szCs w:val="18"/>
      </w:rPr>
      <w:t xml:space="preserve">Kapitel </w:t>
    </w:r>
    <w:r w:rsidR="0061064D">
      <w:rPr>
        <w:rFonts w:ascii="KievitPro-Regular" w:hAnsi="KievitPro-Regular"/>
        <w:color w:val="000000"/>
        <w:sz w:val="18"/>
        <w:szCs w:val="18"/>
      </w:rPr>
      <w:t>15</w:t>
    </w:r>
  </w:p>
  <w:p w14:paraId="35EBD230" w14:textId="77777777" w:rsidR="00AD69D5" w:rsidRPr="00322C4B" w:rsidRDefault="00AD69D5" w:rsidP="00496CE0">
    <w:pPr>
      <w:pStyle w:val="Sidehoved"/>
      <w:tabs>
        <w:tab w:val="clear" w:pos="4986"/>
        <w:tab w:val="clear" w:pos="9972"/>
      </w:tabs>
      <w:jc w:val="center"/>
      <w:rPr>
        <w:rFonts w:ascii="KievitPro-Regular" w:hAnsi="KievitPro-Regular"/>
        <w:color w:val="000000"/>
        <w:sz w:val="48"/>
        <w:szCs w:val="4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340648" w14:textId="77777777" w:rsidR="00E253AF" w:rsidRDefault="00E253AF" w:rsidP="00E253AF">
    <w:pPr>
      <w:pStyle w:val="Sidehoved"/>
      <w:tabs>
        <w:tab w:val="clear" w:pos="4986"/>
        <w:tab w:val="clear" w:pos="9972"/>
      </w:tabs>
      <w:jc w:val="center"/>
      <w:rPr>
        <w:rFonts w:ascii="KievitPro-Regular" w:hAnsi="KievitPro-Regular"/>
        <w:color w:val="000000"/>
        <w:sz w:val="24"/>
        <w:szCs w:val="24"/>
      </w:rPr>
    </w:pPr>
    <w:r>
      <w:rPr>
        <w:rFonts w:ascii="KievitPro-Regular" w:hAnsi="KievitPro-Regular"/>
        <w:noProof/>
        <w:color w:val="000000"/>
        <w:sz w:val="24"/>
        <w:szCs w:val="24"/>
      </w:rPr>
      <w:drawing>
        <wp:anchor distT="0" distB="0" distL="114300" distR="114300" simplePos="0" relativeHeight="251663360" behindDoc="1" locked="0" layoutInCell="1" allowOverlap="1" wp14:anchorId="74B572AA" wp14:editId="6FFCCBE8">
          <wp:simplePos x="0" y="0"/>
          <wp:positionH relativeFrom="margin">
            <wp:align>left</wp:align>
          </wp:positionH>
          <wp:positionV relativeFrom="paragraph">
            <wp:posOffset>-208007</wp:posOffset>
          </wp:positionV>
          <wp:extent cx="540000" cy="720000"/>
          <wp:effectExtent l="0" t="0" r="0" b="4445"/>
          <wp:wrapNone/>
          <wp:docPr id="11" name="Billed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EUS_logo_sorttekst_RGB.png"/>
                  <pic:cNvPicPr/>
                </pic:nvPicPr>
                <pic:blipFill>
                  <a:blip r:embed="rId1">
                    <a:extLst>
                      <a:ext uri="{28A0092B-C50C-407E-A947-70E740481C1C}">
                        <a14:useLocalDpi xmlns:a14="http://schemas.microsoft.com/office/drawing/2010/main" val="0"/>
                      </a:ext>
                    </a:extLst>
                  </a:blip>
                  <a:stretch>
                    <a:fillRect/>
                  </a:stretch>
                </pic:blipFill>
                <pic:spPr>
                  <a:xfrm>
                    <a:off x="0" y="0"/>
                    <a:ext cx="540000" cy="720000"/>
                  </a:xfrm>
                  <a:prstGeom prst="rect">
                    <a:avLst/>
                  </a:prstGeom>
                </pic:spPr>
              </pic:pic>
            </a:graphicData>
          </a:graphic>
          <wp14:sizeRelH relativeFrom="page">
            <wp14:pctWidth>0</wp14:pctWidth>
          </wp14:sizeRelH>
          <wp14:sizeRelV relativeFrom="page">
            <wp14:pctHeight>0</wp14:pctHeight>
          </wp14:sizeRelV>
        </wp:anchor>
      </w:drawing>
    </w:r>
    <w:r>
      <w:rPr>
        <w:rFonts w:ascii="KievitPro-Regular" w:hAnsi="KievitPro-Regular"/>
        <w:noProof/>
        <w:color w:val="000000"/>
        <w:sz w:val="24"/>
        <w:szCs w:val="24"/>
      </w:rPr>
      <w:drawing>
        <wp:anchor distT="0" distB="0" distL="114300" distR="114300" simplePos="0" relativeHeight="251664384" behindDoc="0" locked="0" layoutInCell="1" allowOverlap="1" wp14:anchorId="50276FB4" wp14:editId="13F51FF0">
          <wp:simplePos x="0" y="0"/>
          <wp:positionH relativeFrom="page">
            <wp:posOffset>5897245</wp:posOffset>
          </wp:positionH>
          <wp:positionV relativeFrom="paragraph">
            <wp:posOffset>-25672</wp:posOffset>
          </wp:positionV>
          <wp:extent cx="1440000" cy="360000"/>
          <wp:effectExtent l="0" t="0" r="0" b="2540"/>
          <wp:wrapNone/>
          <wp:docPr id="12" name="Billede 12" descr="Et billede, der indeholder tegning&#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C logo dk rgb hvid kasse sort tekst.png"/>
                  <pic:cNvPicPr/>
                </pic:nvPicPr>
                <pic:blipFill>
                  <a:blip r:embed="rId2">
                    <a:extLst>
                      <a:ext uri="{28A0092B-C50C-407E-A947-70E740481C1C}">
                        <a14:useLocalDpi xmlns:a14="http://schemas.microsoft.com/office/drawing/2010/main" val="0"/>
                      </a:ext>
                    </a:extLst>
                  </a:blip>
                  <a:stretch>
                    <a:fillRect/>
                  </a:stretch>
                </pic:blipFill>
                <pic:spPr>
                  <a:xfrm>
                    <a:off x="0" y="0"/>
                    <a:ext cx="1440000" cy="360000"/>
                  </a:xfrm>
                  <a:prstGeom prst="rect">
                    <a:avLst/>
                  </a:prstGeom>
                </pic:spPr>
              </pic:pic>
            </a:graphicData>
          </a:graphic>
          <wp14:sizeRelH relativeFrom="page">
            <wp14:pctWidth>0</wp14:pctWidth>
          </wp14:sizeRelH>
          <wp14:sizeRelV relativeFrom="page">
            <wp14:pctHeight>0</wp14:pctHeight>
          </wp14:sizeRelV>
        </wp:anchor>
      </w:drawing>
    </w:r>
    <w:r w:rsidRPr="002725C7">
      <w:rPr>
        <w:rFonts w:ascii="KievitPro-Regular" w:hAnsi="KievitPro-Regular"/>
        <w:color w:val="000000"/>
        <w:sz w:val="24"/>
        <w:szCs w:val="24"/>
      </w:rPr>
      <w:t xml:space="preserve">Opgaver til </w:t>
    </w:r>
    <w:r w:rsidRPr="002725C7">
      <w:rPr>
        <w:rFonts w:ascii="KievitPro-Regular" w:hAnsi="KievitPro-Regular"/>
        <w:smallCaps/>
        <w:color w:val="000000"/>
        <w:sz w:val="24"/>
        <w:szCs w:val="24"/>
      </w:rPr>
      <w:t>Mineralske råstoffer, bæredygtighed og innovation</w:t>
    </w:r>
  </w:p>
  <w:p w14:paraId="49E1C0FC" w14:textId="77777777" w:rsidR="00E253AF" w:rsidRPr="001B0C5F" w:rsidRDefault="00E253AF" w:rsidP="00E253AF">
    <w:pPr>
      <w:pStyle w:val="Sidehoved"/>
      <w:tabs>
        <w:tab w:val="clear" w:pos="4986"/>
        <w:tab w:val="clear" w:pos="9972"/>
      </w:tabs>
      <w:jc w:val="center"/>
      <w:rPr>
        <w:rFonts w:ascii="KievitPro-Regular" w:hAnsi="KievitPro-Regular"/>
        <w:color w:val="000000"/>
        <w:sz w:val="20"/>
      </w:rPr>
    </w:pPr>
    <w:r w:rsidRPr="001B0C5F">
      <w:rPr>
        <w:rFonts w:ascii="KievitPro-Regular" w:hAnsi="KievitPro-Regular"/>
        <w:color w:val="000000"/>
        <w:sz w:val="20"/>
      </w:rPr>
      <w:t xml:space="preserve">Af Troels Kullberg, Per Kalvig og Matilde Rink Jørgensen, </w:t>
    </w:r>
    <w:proofErr w:type="spellStart"/>
    <w:r w:rsidRPr="001B0C5F">
      <w:rPr>
        <w:rFonts w:ascii="KievitPro-Regular" w:hAnsi="KievitPro-Regular"/>
        <w:color w:val="000000"/>
        <w:sz w:val="20"/>
      </w:rPr>
      <w:t>MiMa</w:t>
    </w:r>
    <w:proofErr w:type="spellEnd"/>
    <w:r w:rsidRPr="001B0C5F">
      <w:rPr>
        <w:rFonts w:ascii="KievitPro-Regular" w:hAnsi="KievitPro-Regular"/>
        <w:color w:val="000000"/>
        <w:sz w:val="20"/>
      </w:rPr>
      <w:t xml:space="preserve"> 2020</w:t>
    </w:r>
  </w:p>
  <w:p w14:paraId="4C3416EA" w14:textId="77777777" w:rsidR="00E253AF" w:rsidRDefault="00E253AF">
    <w:pPr>
      <w:pStyle w:val="Sidehove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5B040A4A"/>
    <w:lvl w:ilvl="0">
      <w:start w:val="15"/>
      <w:numFmt w:val="decimal"/>
      <w:pStyle w:val="Overskrift1"/>
      <w:lvlText w:val="%1."/>
      <w:lvlJc w:val="left"/>
      <w:pPr>
        <w:ind w:left="0" w:firstLine="0"/>
      </w:pPr>
      <w:rPr>
        <w:rFonts w:hint="default"/>
      </w:rPr>
    </w:lvl>
    <w:lvl w:ilvl="1">
      <w:start w:val="1"/>
      <w:numFmt w:val="decimal"/>
      <w:pStyle w:val="Overskrift2"/>
      <w:lvlText w:val="%1.%2"/>
      <w:lvlJc w:val="left"/>
      <w:pPr>
        <w:ind w:left="0" w:firstLine="0"/>
      </w:pPr>
      <w:rPr>
        <w:rFonts w:hint="default"/>
      </w:rPr>
    </w:lvl>
    <w:lvl w:ilvl="2">
      <w:start w:val="1"/>
      <w:numFmt w:val="decimal"/>
      <w:pStyle w:val="Overskrift3"/>
      <w:lvlText w:val="%1.%2.%3"/>
      <w:lvlJc w:val="left"/>
      <w:pPr>
        <w:ind w:left="0" w:firstLine="0"/>
      </w:pPr>
      <w:rPr>
        <w:rFonts w:hint="default"/>
      </w:rPr>
    </w:lvl>
    <w:lvl w:ilvl="3">
      <w:start w:val="1"/>
      <w:numFmt w:val="decimal"/>
      <w:pStyle w:val="Overskrift4"/>
      <w:lvlText w:val="%1.%2.%3.%4"/>
      <w:lvlJc w:val="left"/>
      <w:pPr>
        <w:ind w:left="0" w:firstLine="0"/>
      </w:pPr>
      <w:rPr>
        <w:rFonts w:hint="default"/>
      </w:rPr>
    </w:lvl>
    <w:lvl w:ilvl="4">
      <w:start w:val="1"/>
      <w:numFmt w:val="decimal"/>
      <w:pStyle w:val="Overskrift5"/>
      <w:lvlText w:val="%1.%2.%3.%4.%5"/>
      <w:lvlJc w:val="left"/>
      <w:pPr>
        <w:ind w:left="0" w:firstLine="0"/>
      </w:pPr>
      <w:rPr>
        <w:rFonts w:hint="default"/>
      </w:rPr>
    </w:lvl>
    <w:lvl w:ilvl="5">
      <w:start w:val="1"/>
      <w:numFmt w:val="decimal"/>
      <w:pStyle w:val="Overskrift6"/>
      <w:lvlText w:val="%1.%2.%3.%4.%5.%6"/>
      <w:lvlJc w:val="left"/>
      <w:pPr>
        <w:ind w:left="0" w:firstLine="0"/>
      </w:pPr>
      <w:rPr>
        <w:rFonts w:hint="default"/>
      </w:rPr>
    </w:lvl>
    <w:lvl w:ilvl="6">
      <w:start w:val="1"/>
      <w:numFmt w:val="decimal"/>
      <w:pStyle w:val="Overskrift7"/>
      <w:lvlText w:val="%1.%2.%3.%4.%5.%6.%7"/>
      <w:lvlJc w:val="left"/>
      <w:pPr>
        <w:ind w:left="0" w:firstLine="0"/>
      </w:pPr>
      <w:rPr>
        <w:rFonts w:hint="default"/>
      </w:rPr>
    </w:lvl>
    <w:lvl w:ilvl="7">
      <w:start w:val="1"/>
      <w:numFmt w:val="decimal"/>
      <w:pStyle w:val="Overskrift8"/>
      <w:lvlText w:val="%1.%2.%3.%4.%5.%6.%7.%8"/>
      <w:lvlJc w:val="left"/>
      <w:pPr>
        <w:ind w:left="0" w:firstLine="0"/>
      </w:pPr>
      <w:rPr>
        <w:rFonts w:hint="default"/>
      </w:rPr>
    </w:lvl>
    <w:lvl w:ilvl="8">
      <w:start w:val="1"/>
      <w:numFmt w:val="decimal"/>
      <w:pStyle w:val="Overskrift9"/>
      <w:lvlText w:val="%1.%2.%3.%4.%5.%6.%7.%8.%9"/>
      <w:lvlJc w:val="left"/>
      <w:pPr>
        <w:ind w:left="0" w:firstLine="0"/>
      </w:pPr>
      <w:rPr>
        <w:rFonts w:hint="default"/>
      </w:rPr>
    </w:lvl>
  </w:abstractNum>
  <w:abstractNum w:abstractNumId="1" w15:restartNumberingAfterBreak="0">
    <w:nsid w:val="0F456D03"/>
    <w:multiLevelType w:val="hybridMultilevel"/>
    <w:tmpl w:val="D85845B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 w15:restartNumberingAfterBreak="0">
    <w:nsid w:val="1A236E22"/>
    <w:multiLevelType w:val="multilevel"/>
    <w:tmpl w:val="D2023B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D49232E"/>
    <w:multiLevelType w:val="multilevel"/>
    <w:tmpl w:val="B07865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4D53FA3"/>
    <w:multiLevelType w:val="hybridMultilevel"/>
    <w:tmpl w:val="28A83A8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 w15:restartNumberingAfterBreak="0">
    <w:nsid w:val="33D40068"/>
    <w:multiLevelType w:val="multilevel"/>
    <w:tmpl w:val="8BB8BB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3BD5C62"/>
    <w:multiLevelType w:val="multilevel"/>
    <w:tmpl w:val="C54C6C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5C55773"/>
    <w:multiLevelType w:val="hybridMultilevel"/>
    <w:tmpl w:val="4992B394"/>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8" w15:restartNumberingAfterBreak="0">
    <w:nsid w:val="49D8320F"/>
    <w:multiLevelType w:val="multilevel"/>
    <w:tmpl w:val="60EEEE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C30214C"/>
    <w:multiLevelType w:val="multilevel"/>
    <w:tmpl w:val="2C949A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ECF0FC5"/>
    <w:multiLevelType w:val="hybridMultilevel"/>
    <w:tmpl w:val="715EC416"/>
    <w:lvl w:ilvl="0" w:tplc="04060001">
      <w:start w:val="1"/>
      <w:numFmt w:val="bullet"/>
      <w:lvlText w:val=""/>
      <w:lvlJc w:val="left"/>
      <w:pPr>
        <w:ind w:left="720" w:hanging="360"/>
      </w:pPr>
      <w:rPr>
        <w:rFonts w:ascii="Symbol" w:hAnsi="Symbol" w:hint="default"/>
      </w:rPr>
    </w:lvl>
    <w:lvl w:ilvl="1" w:tplc="04060017">
      <w:start w:val="1"/>
      <w:numFmt w:val="lowerLetter"/>
      <w:lvlText w:val="%2)"/>
      <w:lvlJc w:val="left"/>
      <w:pPr>
        <w:ind w:left="1440" w:hanging="360"/>
      </w:pPr>
      <w:rPr>
        <w:rFonts w:hint="default"/>
      </w:rPr>
    </w:lvl>
    <w:lvl w:ilvl="2" w:tplc="04060005">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1" w15:restartNumberingAfterBreak="0">
    <w:nsid w:val="5DDC7A83"/>
    <w:multiLevelType w:val="multilevel"/>
    <w:tmpl w:val="8EE21B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1BC4630"/>
    <w:multiLevelType w:val="hybridMultilevel"/>
    <w:tmpl w:val="E89C55AC"/>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3" w15:restartNumberingAfterBreak="0">
    <w:nsid w:val="65523B29"/>
    <w:multiLevelType w:val="multilevel"/>
    <w:tmpl w:val="B0BA46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C7D3C50"/>
    <w:multiLevelType w:val="multilevel"/>
    <w:tmpl w:val="28C6B6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DC85A6B"/>
    <w:multiLevelType w:val="multilevel"/>
    <w:tmpl w:val="E56044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2753A86"/>
    <w:multiLevelType w:val="hybridMultilevel"/>
    <w:tmpl w:val="D968EF40"/>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7" w15:restartNumberingAfterBreak="0">
    <w:nsid w:val="7D8F1CCF"/>
    <w:multiLevelType w:val="hybridMultilevel"/>
    <w:tmpl w:val="EAA0884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abstractNumId w:val="0"/>
  </w:num>
  <w:num w:numId="2">
    <w:abstractNumId w:val="14"/>
  </w:num>
  <w:num w:numId="3">
    <w:abstractNumId w:val="5"/>
  </w:num>
  <w:num w:numId="4">
    <w:abstractNumId w:val="15"/>
  </w:num>
  <w:num w:numId="5">
    <w:abstractNumId w:val="13"/>
  </w:num>
  <w:num w:numId="6">
    <w:abstractNumId w:val="6"/>
  </w:num>
  <w:num w:numId="7">
    <w:abstractNumId w:val="11"/>
  </w:num>
  <w:num w:numId="8">
    <w:abstractNumId w:val="8"/>
  </w:num>
  <w:num w:numId="9">
    <w:abstractNumId w:val="2"/>
  </w:num>
  <w:num w:numId="10">
    <w:abstractNumId w:val="16"/>
  </w:num>
  <w:num w:numId="11">
    <w:abstractNumId w:val="12"/>
  </w:num>
  <w:num w:numId="12">
    <w:abstractNumId w:val="10"/>
  </w:num>
  <w:num w:numId="13">
    <w:abstractNumId w:val="0"/>
  </w:num>
  <w:num w:numId="14">
    <w:abstractNumId w:val="1"/>
  </w:num>
  <w:num w:numId="15">
    <w:abstractNumId w:val="0"/>
  </w:num>
  <w:num w:numId="16">
    <w:abstractNumId w:val="17"/>
  </w:num>
  <w:num w:numId="17">
    <w:abstractNumId w:val="9"/>
  </w:num>
  <w:num w:numId="18">
    <w:abstractNumId w:val="3"/>
  </w:num>
  <w:num w:numId="19">
    <w:abstractNumId w:val="0"/>
  </w:num>
  <w:num w:numId="20">
    <w:abstractNumId w:val="4"/>
  </w:num>
  <w:num w:numId="21">
    <w:abstractNumId w:val="0"/>
  </w:num>
  <w:num w:numId="2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54"/>
  <w:autoHyphenation/>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0809"/>
    <w:rsid w:val="0000311A"/>
    <w:rsid w:val="00027264"/>
    <w:rsid w:val="00052C1C"/>
    <w:rsid w:val="00054123"/>
    <w:rsid w:val="00075375"/>
    <w:rsid w:val="000A5BD5"/>
    <w:rsid w:val="000B30A9"/>
    <w:rsid w:val="000B7ACD"/>
    <w:rsid w:val="000E3155"/>
    <w:rsid w:val="00106540"/>
    <w:rsid w:val="00172E37"/>
    <w:rsid w:val="00176155"/>
    <w:rsid w:val="00180FED"/>
    <w:rsid w:val="00185784"/>
    <w:rsid w:val="0019058E"/>
    <w:rsid w:val="001A6822"/>
    <w:rsid w:val="001B0C5F"/>
    <w:rsid w:val="001C0452"/>
    <w:rsid w:val="001E4E71"/>
    <w:rsid w:val="001F12D6"/>
    <w:rsid w:val="001F72B4"/>
    <w:rsid w:val="00220D26"/>
    <w:rsid w:val="00225BA7"/>
    <w:rsid w:val="00234AE2"/>
    <w:rsid w:val="00241695"/>
    <w:rsid w:val="002725C7"/>
    <w:rsid w:val="0027446C"/>
    <w:rsid w:val="002C7CB9"/>
    <w:rsid w:val="00322C4B"/>
    <w:rsid w:val="003271F5"/>
    <w:rsid w:val="00340EE2"/>
    <w:rsid w:val="00347F03"/>
    <w:rsid w:val="00351DAE"/>
    <w:rsid w:val="003A06DD"/>
    <w:rsid w:val="003E130A"/>
    <w:rsid w:val="003F1F7B"/>
    <w:rsid w:val="00413567"/>
    <w:rsid w:val="00433E08"/>
    <w:rsid w:val="00454D4A"/>
    <w:rsid w:val="0046481C"/>
    <w:rsid w:val="00487BDA"/>
    <w:rsid w:val="0049282C"/>
    <w:rsid w:val="00496CE0"/>
    <w:rsid w:val="004A12CA"/>
    <w:rsid w:val="004B0D9D"/>
    <w:rsid w:val="004B6F34"/>
    <w:rsid w:val="00563BB3"/>
    <w:rsid w:val="00582BD9"/>
    <w:rsid w:val="0059182F"/>
    <w:rsid w:val="005C6A25"/>
    <w:rsid w:val="006028EF"/>
    <w:rsid w:val="0061064D"/>
    <w:rsid w:val="00650098"/>
    <w:rsid w:val="006A1455"/>
    <w:rsid w:val="006A549A"/>
    <w:rsid w:val="006D68CC"/>
    <w:rsid w:val="006E6D0E"/>
    <w:rsid w:val="0070090A"/>
    <w:rsid w:val="00735EC7"/>
    <w:rsid w:val="007500A1"/>
    <w:rsid w:val="007737BA"/>
    <w:rsid w:val="00792A55"/>
    <w:rsid w:val="007945BD"/>
    <w:rsid w:val="007A0875"/>
    <w:rsid w:val="007F041D"/>
    <w:rsid w:val="0080258C"/>
    <w:rsid w:val="00832605"/>
    <w:rsid w:val="00864FE9"/>
    <w:rsid w:val="00866CD7"/>
    <w:rsid w:val="0087237B"/>
    <w:rsid w:val="008B5400"/>
    <w:rsid w:val="008C7AB9"/>
    <w:rsid w:val="008D6336"/>
    <w:rsid w:val="008D76CB"/>
    <w:rsid w:val="008F0809"/>
    <w:rsid w:val="009100C3"/>
    <w:rsid w:val="00922C5F"/>
    <w:rsid w:val="00940432"/>
    <w:rsid w:val="00942347"/>
    <w:rsid w:val="009564D2"/>
    <w:rsid w:val="009726A5"/>
    <w:rsid w:val="00987097"/>
    <w:rsid w:val="009B0B84"/>
    <w:rsid w:val="009B6F0A"/>
    <w:rsid w:val="009C1298"/>
    <w:rsid w:val="009F7060"/>
    <w:rsid w:val="00A038F3"/>
    <w:rsid w:val="00A3043D"/>
    <w:rsid w:val="00A5447D"/>
    <w:rsid w:val="00A61597"/>
    <w:rsid w:val="00A70016"/>
    <w:rsid w:val="00A95E18"/>
    <w:rsid w:val="00AB643B"/>
    <w:rsid w:val="00AD5E2A"/>
    <w:rsid w:val="00AD69D5"/>
    <w:rsid w:val="00AF2850"/>
    <w:rsid w:val="00B2209A"/>
    <w:rsid w:val="00B36857"/>
    <w:rsid w:val="00B918EA"/>
    <w:rsid w:val="00BA0D9E"/>
    <w:rsid w:val="00BB67E0"/>
    <w:rsid w:val="00BD5A80"/>
    <w:rsid w:val="00BF58C8"/>
    <w:rsid w:val="00C0269E"/>
    <w:rsid w:val="00C31882"/>
    <w:rsid w:val="00C57B6C"/>
    <w:rsid w:val="00C57EAA"/>
    <w:rsid w:val="00C67C1F"/>
    <w:rsid w:val="00C93BA7"/>
    <w:rsid w:val="00CD1D4C"/>
    <w:rsid w:val="00CE6FC5"/>
    <w:rsid w:val="00CF1460"/>
    <w:rsid w:val="00D1253D"/>
    <w:rsid w:val="00D43F8A"/>
    <w:rsid w:val="00D44852"/>
    <w:rsid w:val="00D85BF3"/>
    <w:rsid w:val="00DA0E0B"/>
    <w:rsid w:val="00DE6FC2"/>
    <w:rsid w:val="00E01604"/>
    <w:rsid w:val="00E135E4"/>
    <w:rsid w:val="00E1403A"/>
    <w:rsid w:val="00E253AF"/>
    <w:rsid w:val="00E315EC"/>
    <w:rsid w:val="00E37668"/>
    <w:rsid w:val="00EC1605"/>
    <w:rsid w:val="00F107BF"/>
    <w:rsid w:val="00F20AC9"/>
    <w:rsid w:val="00F26EA6"/>
    <w:rsid w:val="00F5422A"/>
    <w:rsid w:val="00F56238"/>
    <w:rsid w:val="00F65D72"/>
    <w:rsid w:val="00FB5FB8"/>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D1EEAB7"/>
  <w15:chartTrackingRefBased/>
  <w15:docId w15:val="{D4CD937D-4092-46B9-BC7B-EA02A6E188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a-DK" w:eastAsia="da-DK" w:bidi="ar-SA"/>
      </w:rPr>
    </w:rPrDefault>
    <w:pPrDefault/>
  </w:docDefaults>
  <w:latentStyles w:defLockedState="0" w:defUIPriority="0" w:defSemiHidden="0" w:defUnhideWhenUsed="0" w:defQFormat="0" w:count="375">
    <w:lsdException w:name="Normal" w:qFormat="1"/>
    <w:lsdException w:name="heading 1" w:uiPriority="9" w:qFormat="1"/>
    <w:lsdException w:name="heading 2" w:uiPriority="9" w:qFormat="1"/>
    <w:lsdException w:name="heading 3" w:uiPriority="9"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pPr>
      <w:spacing w:line="288" w:lineRule="auto"/>
      <w:jc w:val="both"/>
    </w:pPr>
    <w:rPr>
      <w:rFonts w:ascii="Arial" w:hAnsi="Arial"/>
      <w:sz w:val="21"/>
    </w:rPr>
  </w:style>
  <w:style w:type="paragraph" w:styleId="Overskrift1">
    <w:name w:val="heading 1"/>
    <w:basedOn w:val="Normal"/>
    <w:next w:val="Normal"/>
    <w:link w:val="Overskrift1Tegn"/>
    <w:uiPriority w:val="9"/>
    <w:qFormat/>
    <w:rsid w:val="00234AE2"/>
    <w:pPr>
      <w:keepNext/>
      <w:pageBreakBefore/>
      <w:numPr>
        <w:numId w:val="1"/>
      </w:numPr>
      <w:spacing w:before="480" w:after="600" w:line="240" w:lineRule="auto"/>
      <w:jc w:val="left"/>
      <w:outlineLvl w:val="0"/>
    </w:pPr>
    <w:rPr>
      <w:rFonts w:ascii="KievitPro-ExtraBold" w:hAnsi="KievitPro-ExtraBold"/>
      <w:b/>
      <w:smallCaps/>
      <w:sz w:val="34"/>
    </w:rPr>
  </w:style>
  <w:style w:type="paragraph" w:styleId="Overskrift2">
    <w:name w:val="heading 2"/>
    <w:basedOn w:val="Normal"/>
    <w:next w:val="Normal"/>
    <w:link w:val="Overskrift2Tegn"/>
    <w:uiPriority w:val="9"/>
    <w:qFormat/>
    <w:rsid w:val="00B36857"/>
    <w:pPr>
      <w:keepNext/>
      <w:numPr>
        <w:ilvl w:val="1"/>
        <w:numId w:val="1"/>
      </w:numPr>
      <w:spacing w:before="600" w:after="210" w:line="240" w:lineRule="auto"/>
      <w:jc w:val="left"/>
      <w:outlineLvl w:val="1"/>
    </w:pPr>
    <w:rPr>
      <w:rFonts w:ascii="KievitPro-Medium" w:hAnsi="KievitPro-Medium"/>
      <w:b/>
      <w:sz w:val="28"/>
    </w:rPr>
  </w:style>
  <w:style w:type="paragraph" w:styleId="Overskrift3">
    <w:name w:val="heading 3"/>
    <w:basedOn w:val="Normal"/>
    <w:next w:val="Normal"/>
    <w:link w:val="Overskrift3Tegn"/>
    <w:uiPriority w:val="9"/>
    <w:qFormat/>
    <w:pPr>
      <w:keepNext/>
      <w:numPr>
        <w:ilvl w:val="2"/>
        <w:numId w:val="1"/>
      </w:numPr>
      <w:spacing w:before="600" w:after="210" w:line="240" w:lineRule="auto"/>
      <w:jc w:val="left"/>
      <w:outlineLvl w:val="2"/>
    </w:pPr>
    <w:rPr>
      <w:b/>
      <w:sz w:val="24"/>
    </w:rPr>
  </w:style>
  <w:style w:type="paragraph" w:styleId="Overskrift4">
    <w:name w:val="heading 4"/>
    <w:basedOn w:val="Normal"/>
    <w:next w:val="Normal"/>
    <w:qFormat/>
    <w:pPr>
      <w:keepNext/>
      <w:numPr>
        <w:ilvl w:val="3"/>
        <w:numId w:val="1"/>
      </w:numPr>
      <w:spacing w:before="480" w:after="40" w:line="240" w:lineRule="auto"/>
      <w:jc w:val="left"/>
      <w:outlineLvl w:val="3"/>
    </w:pPr>
    <w:rPr>
      <w:b/>
    </w:rPr>
  </w:style>
  <w:style w:type="paragraph" w:styleId="Overskrift5">
    <w:name w:val="heading 5"/>
    <w:basedOn w:val="Normal"/>
    <w:next w:val="Normal"/>
    <w:qFormat/>
    <w:pPr>
      <w:numPr>
        <w:ilvl w:val="4"/>
        <w:numId w:val="1"/>
      </w:numPr>
      <w:spacing w:before="240" w:after="60"/>
      <w:outlineLvl w:val="4"/>
    </w:pPr>
    <w:rPr>
      <w:sz w:val="22"/>
    </w:rPr>
  </w:style>
  <w:style w:type="paragraph" w:styleId="Overskrift6">
    <w:name w:val="heading 6"/>
    <w:basedOn w:val="Normal"/>
    <w:next w:val="Normal"/>
    <w:qFormat/>
    <w:pPr>
      <w:numPr>
        <w:ilvl w:val="5"/>
        <w:numId w:val="1"/>
      </w:numPr>
      <w:spacing w:before="240" w:after="60"/>
      <w:outlineLvl w:val="5"/>
    </w:pPr>
    <w:rPr>
      <w:i/>
      <w:sz w:val="22"/>
    </w:rPr>
  </w:style>
  <w:style w:type="paragraph" w:styleId="Overskrift7">
    <w:name w:val="heading 7"/>
    <w:basedOn w:val="Normal"/>
    <w:next w:val="Normal"/>
    <w:qFormat/>
    <w:pPr>
      <w:numPr>
        <w:ilvl w:val="6"/>
        <w:numId w:val="1"/>
      </w:numPr>
      <w:spacing w:before="240" w:after="60"/>
      <w:outlineLvl w:val="6"/>
    </w:pPr>
    <w:rPr>
      <w:sz w:val="20"/>
    </w:rPr>
  </w:style>
  <w:style w:type="paragraph" w:styleId="Overskrift8">
    <w:name w:val="heading 8"/>
    <w:basedOn w:val="Normal"/>
    <w:next w:val="Normal"/>
    <w:qFormat/>
    <w:pPr>
      <w:numPr>
        <w:ilvl w:val="7"/>
        <w:numId w:val="1"/>
      </w:numPr>
      <w:spacing w:before="240" w:after="60"/>
      <w:outlineLvl w:val="7"/>
    </w:pPr>
    <w:rPr>
      <w:i/>
      <w:sz w:val="20"/>
    </w:rPr>
  </w:style>
  <w:style w:type="paragraph" w:styleId="Overskrift9">
    <w:name w:val="heading 9"/>
    <w:basedOn w:val="Normal"/>
    <w:next w:val="Normal"/>
    <w:qFormat/>
    <w:pPr>
      <w:numPr>
        <w:ilvl w:val="8"/>
        <w:numId w:val="1"/>
      </w:numPr>
      <w:spacing w:before="240" w:after="60"/>
      <w:outlineLvl w:val="8"/>
    </w:pPr>
    <w:rPr>
      <w:i/>
      <w:sz w:val="18"/>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Sidehoved">
    <w:name w:val="header"/>
    <w:basedOn w:val="Normal"/>
    <w:pPr>
      <w:tabs>
        <w:tab w:val="center" w:pos="4986"/>
        <w:tab w:val="right" w:pos="9972"/>
      </w:tabs>
    </w:pPr>
  </w:style>
  <w:style w:type="paragraph" w:styleId="Sidefod">
    <w:name w:val="footer"/>
    <w:basedOn w:val="Normal"/>
    <w:pPr>
      <w:tabs>
        <w:tab w:val="center" w:pos="4986"/>
        <w:tab w:val="right" w:pos="9972"/>
      </w:tabs>
    </w:pPr>
  </w:style>
  <w:style w:type="character" w:styleId="Sidetal">
    <w:name w:val="page number"/>
    <w:basedOn w:val="Standardskrifttypeiafsnit"/>
  </w:style>
  <w:style w:type="paragraph" w:styleId="Indholdsfortegnelse1">
    <w:name w:val="toc 1"/>
    <w:basedOn w:val="Normal"/>
    <w:next w:val="Normal"/>
    <w:semiHidden/>
    <w:pPr>
      <w:tabs>
        <w:tab w:val="right" w:pos="8503"/>
      </w:tabs>
      <w:spacing w:before="240" w:after="120"/>
      <w:jc w:val="left"/>
    </w:pPr>
    <w:rPr>
      <w:b/>
    </w:rPr>
  </w:style>
  <w:style w:type="paragraph" w:styleId="Indholdsfortegnelse2">
    <w:name w:val="toc 2"/>
    <w:basedOn w:val="Normal"/>
    <w:next w:val="Normal"/>
    <w:semiHidden/>
    <w:pPr>
      <w:tabs>
        <w:tab w:val="right" w:leader="dot" w:pos="8503"/>
      </w:tabs>
      <w:ind w:left="284"/>
      <w:jc w:val="left"/>
    </w:pPr>
  </w:style>
  <w:style w:type="paragraph" w:styleId="Indholdsfortegnelse3">
    <w:name w:val="toc 3"/>
    <w:basedOn w:val="Normal"/>
    <w:next w:val="Normal"/>
    <w:semiHidden/>
    <w:pPr>
      <w:tabs>
        <w:tab w:val="right" w:leader="dot" w:pos="8503"/>
      </w:tabs>
      <w:ind w:left="284"/>
      <w:jc w:val="left"/>
    </w:pPr>
  </w:style>
  <w:style w:type="paragraph" w:styleId="Indholdsfortegnelse4">
    <w:name w:val="toc 4"/>
    <w:basedOn w:val="Normal"/>
    <w:next w:val="Normal"/>
    <w:semiHidden/>
    <w:pPr>
      <w:tabs>
        <w:tab w:val="right" w:leader="dot" w:pos="8503"/>
      </w:tabs>
      <w:ind w:left="284"/>
      <w:jc w:val="left"/>
    </w:pPr>
  </w:style>
  <w:style w:type="paragraph" w:customStyle="1" w:styleId="MainmainMAIN">
    <w:name w:val="Main.main (MAIN)"/>
    <w:basedOn w:val="Normal"/>
    <w:uiPriority w:val="99"/>
    <w:rsid w:val="008F0809"/>
    <w:pPr>
      <w:autoSpaceDE w:val="0"/>
      <w:autoSpaceDN w:val="0"/>
      <w:adjustRightInd w:val="0"/>
      <w:spacing w:after="170" w:line="300" w:lineRule="atLeast"/>
      <w:jc w:val="left"/>
      <w:textAlignment w:val="center"/>
    </w:pPr>
    <w:rPr>
      <w:rFonts w:ascii="KievitPro-Regular" w:hAnsi="KievitPro-Regular" w:cs="KievitPro-Regular"/>
      <w:color w:val="000000"/>
      <w:sz w:val="24"/>
      <w:szCs w:val="24"/>
    </w:rPr>
  </w:style>
  <w:style w:type="character" w:customStyle="1" w:styleId="Overskrift1Tegn">
    <w:name w:val="Overskrift 1 Tegn"/>
    <w:basedOn w:val="Standardskrifttypeiafsnit"/>
    <w:link w:val="Overskrift1"/>
    <w:uiPriority w:val="9"/>
    <w:rsid w:val="00234AE2"/>
    <w:rPr>
      <w:rFonts w:ascii="KievitPro-ExtraBold" w:hAnsi="KievitPro-ExtraBold"/>
      <w:b/>
      <w:smallCaps/>
      <w:sz w:val="34"/>
    </w:rPr>
  </w:style>
  <w:style w:type="character" w:customStyle="1" w:styleId="Overskrift2Tegn">
    <w:name w:val="Overskrift 2 Tegn"/>
    <w:basedOn w:val="Standardskrifttypeiafsnit"/>
    <w:link w:val="Overskrift2"/>
    <w:uiPriority w:val="9"/>
    <w:rsid w:val="00B36857"/>
    <w:rPr>
      <w:rFonts w:ascii="KievitPro-Medium" w:hAnsi="KievitPro-Medium"/>
      <w:b/>
      <w:sz w:val="28"/>
    </w:rPr>
  </w:style>
  <w:style w:type="character" w:customStyle="1" w:styleId="Overskrift3Tegn">
    <w:name w:val="Overskrift 3 Tegn"/>
    <w:basedOn w:val="Standardskrifttypeiafsnit"/>
    <w:link w:val="Overskrift3"/>
    <w:uiPriority w:val="9"/>
    <w:rsid w:val="008F0809"/>
    <w:rPr>
      <w:rFonts w:ascii="Arial" w:hAnsi="Arial"/>
      <w:b/>
      <w:sz w:val="24"/>
    </w:rPr>
  </w:style>
  <w:style w:type="paragraph" w:styleId="NormalWeb">
    <w:name w:val="Normal (Web)"/>
    <w:basedOn w:val="Normal"/>
    <w:uiPriority w:val="99"/>
    <w:unhideWhenUsed/>
    <w:rsid w:val="008F0809"/>
    <w:pPr>
      <w:spacing w:before="100" w:beforeAutospacing="1" w:after="100" w:afterAutospacing="1" w:line="240" w:lineRule="auto"/>
      <w:jc w:val="left"/>
    </w:pPr>
    <w:rPr>
      <w:rFonts w:ascii="Times New Roman" w:hAnsi="Times New Roman"/>
      <w:sz w:val="24"/>
      <w:szCs w:val="24"/>
    </w:rPr>
  </w:style>
  <w:style w:type="character" w:styleId="Hyperlink">
    <w:name w:val="Hyperlink"/>
    <w:basedOn w:val="Standardskrifttypeiafsnit"/>
    <w:uiPriority w:val="99"/>
    <w:unhideWhenUsed/>
    <w:rsid w:val="008F0809"/>
    <w:rPr>
      <w:color w:val="0000FF"/>
      <w:u w:val="single"/>
    </w:rPr>
  </w:style>
  <w:style w:type="character" w:styleId="Ulstomtale">
    <w:name w:val="Unresolved Mention"/>
    <w:basedOn w:val="Standardskrifttypeiafsnit"/>
    <w:uiPriority w:val="99"/>
    <w:semiHidden/>
    <w:unhideWhenUsed/>
    <w:rsid w:val="008D6336"/>
    <w:rPr>
      <w:color w:val="605E5C"/>
      <w:shd w:val="clear" w:color="auto" w:fill="E1DFDD"/>
    </w:rPr>
  </w:style>
  <w:style w:type="paragraph" w:customStyle="1" w:styleId="SubfigureSUB">
    <w:name w:val="Sub.figure (SUB)"/>
    <w:basedOn w:val="Normal"/>
    <w:uiPriority w:val="99"/>
    <w:rsid w:val="00CD1D4C"/>
    <w:pPr>
      <w:autoSpaceDE w:val="0"/>
      <w:autoSpaceDN w:val="0"/>
      <w:adjustRightInd w:val="0"/>
      <w:spacing w:after="57" w:line="260" w:lineRule="atLeast"/>
      <w:jc w:val="left"/>
      <w:textAlignment w:val="center"/>
    </w:pPr>
    <w:rPr>
      <w:rFonts w:ascii="KievitPro-Light" w:hAnsi="KievitPro-Light" w:cs="KievitPro-Light"/>
      <w:color w:val="000000"/>
      <w:sz w:val="22"/>
      <w:szCs w:val="22"/>
    </w:rPr>
  </w:style>
  <w:style w:type="character" w:styleId="Kommentarhenvisning">
    <w:name w:val="annotation reference"/>
    <w:basedOn w:val="Standardskrifttypeiafsnit"/>
    <w:rsid w:val="00CE6FC5"/>
    <w:rPr>
      <w:sz w:val="16"/>
      <w:szCs w:val="16"/>
    </w:rPr>
  </w:style>
  <w:style w:type="paragraph" w:styleId="Kommentartekst">
    <w:name w:val="annotation text"/>
    <w:basedOn w:val="Normal"/>
    <w:link w:val="KommentartekstTegn"/>
    <w:rsid w:val="00CE6FC5"/>
    <w:pPr>
      <w:spacing w:line="240" w:lineRule="auto"/>
    </w:pPr>
    <w:rPr>
      <w:sz w:val="20"/>
    </w:rPr>
  </w:style>
  <w:style w:type="character" w:customStyle="1" w:styleId="KommentartekstTegn">
    <w:name w:val="Kommentartekst Tegn"/>
    <w:basedOn w:val="Standardskrifttypeiafsnit"/>
    <w:link w:val="Kommentartekst"/>
    <w:rsid w:val="00CE6FC5"/>
    <w:rPr>
      <w:rFonts w:ascii="Arial" w:hAnsi="Arial"/>
    </w:rPr>
  </w:style>
  <w:style w:type="paragraph" w:styleId="Kommentaremne">
    <w:name w:val="annotation subject"/>
    <w:basedOn w:val="Kommentartekst"/>
    <w:next w:val="Kommentartekst"/>
    <w:link w:val="KommentaremneTegn"/>
    <w:semiHidden/>
    <w:unhideWhenUsed/>
    <w:rsid w:val="00CE6FC5"/>
    <w:rPr>
      <w:b/>
      <w:bCs/>
    </w:rPr>
  </w:style>
  <w:style w:type="character" w:customStyle="1" w:styleId="KommentaremneTegn">
    <w:name w:val="Kommentaremne Tegn"/>
    <w:basedOn w:val="KommentartekstTegn"/>
    <w:link w:val="Kommentaremne"/>
    <w:semiHidden/>
    <w:rsid w:val="00CE6FC5"/>
    <w:rPr>
      <w:rFonts w:ascii="Arial" w:hAnsi="Arial"/>
      <w:b/>
      <w:bCs/>
    </w:rPr>
  </w:style>
  <w:style w:type="paragraph" w:styleId="Markeringsbobletekst">
    <w:name w:val="Balloon Text"/>
    <w:basedOn w:val="Normal"/>
    <w:link w:val="MarkeringsbobletekstTegn"/>
    <w:semiHidden/>
    <w:unhideWhenUsed/>
    <w:rsid w:val="00CE6FC5"/>
    <w:pPr>
      <w:spacing w:line="240" w:lineRule="auto"/>
    </w:pPr>
    <w:rPr>
      <w:rFonts w:ascii="Segoe UI" w:hAnsi="Segoe UI" w:cs="Segoe UI"/>
      <w:sz w:val="18"/>
      <w:szCs w:val="18"/>
    </w:rPr>
  </w:style>
  <w:style w:type="character" w:customStyle="1" w:styleId="MarkeringsbobletekstTegn">
    <w:name w:val="Markeringsbobletekst Tegn"/>
    <w:basedOn w:val="Standardskrifttypeiafsnit"/>
    <w:link w:val="Markeringsbobletekst"/>
    <w:semiHidden/>
    <w:rsid w:val="00CE6FC5"/>
    <w:rPr>
      <w:rFonts w:ascii="Segoe UI" w:hAnsi="Segoe UI" w:cs="Segoe UI"/>
      <w:sz w:val="18"/>
      <w:szCs w:val="18"/>
    </w:rPr>
  </w:style>
  <w:style w:type="character" w:styleId="BesgtLink">
    <w:name w:val="FollowedHyperlink"/>
    <w:basedOn w:val="Standardskrifttypeiafsnit"/>
    <w:rsid w:val="009B6F0A"/>
    <w:rPr>
      <w:color w:val="954F72" w:themeColor="followedHyperlink"/>
      <w:u w:val="single"/>
    </w:rPr>
  </w:style>
  <w:style w:type="character" w:customStyle="1" w:styleId="Italic">
    <w:name w:val="Italic"/>
    <w:uiPriority w:val="99"/>
    <w:rsid w:val="00AB643B"/>
    <w:rPr>
      <w:rFonts w:ascii="KievitPro-Italic" w:hAnsi="KievitPro-Italic" w:cs="KievitPro-Italic"/>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0326474">
      <w:bodyDiv w:val="1"/>
      <w:marLeft w:val="0"/>
      <w:marRight w:val="0"/>
      <w:marTop w:val="0"/>
      <w:marBottom w:val="0"/>
      <w:divBdr>
        <w:top w:val="none" w:sz="0" w:space="0" w:color="auto"/>
        <w:left w:val="none" w:sz="0" w:space="0" w:color="auto"/>
        <w:bottom w:val="none" w:sz="0" w:space="0" w:color="auto"/>
        <w:right w:val="none" w:sz="0" w:space="0" w:color="auto"/>
      </w:divBdr>
    </w:div>
    <w:div w:id="1176842214">
      <w:bodyDiv w:val="1"/>
      <w:marLeft w:val="0"/>
      <w:marRight w:val="0"/>
      <w:marTop w:val="0"/>
      <w:marBottom w:val="0"/>
      <w:divBdr>
        <w:top w:val="none" w:sz="0" w:space="0" w:color="auto"/>
        <w:left w:val="none" w:sz="0" w:space="0" w:color="auto"/>
        <w:bottom w:val="none" w:sz="0" w:space="0" w:color="auto"/>
        <w:right w:val="none" w:sz="0" w:space="0" w:color="auto"/>
      </w:divBdr>
    </w:div>
    <w:div w:id="16751127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www.vivaenergi.dk/solceller-jorden" TargetMode="External"/><Relationship Id="rId17" Type="http://schemas.openxmlformats.org/officeDocument/2006/relationships/image" Target="media/image5.pn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energidanmark.dk/markedsinfo/nyheder/nyheder/nyheder-2018/01/elproduktionen-steg-i-2017/" TargetMode="External"/><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footer" Target="footer1.xm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10.jpg"/></Relationships>
</file>

<file path=word/_rels/header2.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9.png"/></Relationships>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ont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72DC3D2C51F1334B8D6DE9169AB9E2F1" ma:contentTypeVersion="13" ma:contentTypeDescription="Opret et nyt dokument." ma:contentTypeScope="" ma:versionID="3dca277b1b22c1d75c840e0929d4913e">
  <xsd:schema xmlns:xsd="http://www.w3.org/2001/XMLSchema" xmlns:xs="http://www.w3.org/2001/XMLSchema" xmlns:p="http://schemas.microsoft.com/office/2006/metadata/properties" xmlns:ns3="f2f51464-1443-433d-b698-859be0301745" xmlns:ns4="0339f363-5c62-42f2-92b9-42148a7317be" targetNamespace="http://schemas.microsoft.com/office/2006/metadata/properties" ma:root="true" ma:fieldsID="14d513301923c5836a5416034ca8b3be" ns3:_="" ns4:_="">
    <xsd:import namespace="f2f51464-1443-433d-b698-859be0301745"/>
    <xsd:import namespace="0339f363-5c62-42f2-92b9-42148a7317be"/>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AutoKeyPoints" minOccurs="0"/>
                <xsd:element ref="ns3:MediaServiceKeyPoints"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2f51464-1443-433d-b698-859be030174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339f363-5c62-42f2-92b9-42148a7317be" elementFormDefault="qualified">
    <xsd:import namespace="http://schemas.microsoft.com/office/2006/documentManagement/types"/>
    <xsd:import namespace="http://schemas.microsoft.com/office/infopath/2007/PartnerControls"/>
    <xsd:element name="SharedWithUsers" ma:index="18"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lt med detaljer" ma:internalName="SharedWithDetails" ma:readOnly="true">
      <xsd:simpleType>
        <xsd:restriction base="dms:Note">
          <xsd:maxLength value="255"/>
        </xsd:restriction>
      </xsd:simpleType>
    </xsd:element>
    <xsd:element name="SharingHintHash" ma:index="20" nillable="true" ma:displayName="Hashværdi for deling"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36944F-4402-41E9-93E2-FC73364E1B9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F40E061-53E4-4A77-B2C7-721A9636BBD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2f51464-1443-433d-b698-859be0301745"/>
    <ds:schemaRef ds:uri="0339f363-5c62-42f2-92b9-42148a7317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D3C45F3-9111-4370-9004-B0CEEE86D9E4}">
  <ds:schemaRefs>
    <ds:schemaRef ds:uri="http://schemas.microsoft.com/sharepoint/v3/contenttype/forms"/>
  </ds:schemaRefs>
</ds:datastoreItem>
</file>

<file path=customXml/itemProps4.xml><?xml version="1.0" encoding="utf-8"?>
<ds:datastoreItem xmlns:ds="http://schemas.openxmlformats.org/officeDocument/2006/customXml" ds:itemID="{6E9A2443-E290-405B-971A-5D2CC0D67F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Pages>
  <Words>541</Words>
  <Characters>3303</Characters>
  <Application>Microsoft Office Word</Application>
  <DocSecurity>0</DocSecurity>
  <Lines>27</Lines>
  <Paragraphs>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geus</Company>
  <LinksUpToDate>false</LinksUpToDate>
  <CharactersWithSpaces>3837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Kisser Thorsøe</dc:creator>
  <cp:keywords/>
  <cp:lastModifiedBy>Maja Tingkær</cp:lastModifiedBy>
  <cp:revision>2</cp:revision>
  <cp:lastPrinted>2020-04-23T14:14:00Z</cp:lastPrinted>
  <dcterms:created xsi:type="dcterms:W3CDTF">2023-03-23T12:35:00Z</dcterms:created>
  <dcterms:modified xsi:type="dcterms:W3CDTF">2023-03-23T12:35:00Z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0x01010072DC3D2C51F1334B8D6DE9169AB9E2F1</vt:lpwstr>
  </property>
</Properties>
</file>